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00267280"/>
        <w:docPartObj>
          <w:docPartGallery w:val="Cover Pages"/>
          <w:docPartUnique/>
        </w:docPartObj>
      </w:sdtPr>
      <w:sdtContent>
        <w:p w14:paraId="04550E4E" w14:textId="57B9AB6E" w:rsidR="005F405F" w:rsidRDefault="005F405F"/>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476"/>
          </w:tblGrid>
          <w:tr w:rsidR="005F405F" w14:paraId="33488FB9" w14:textId="77777777">
            <w:sdt>
              <w:sdtPr>
                <w:rPr>
                  <w:color w:val="0B78B7"/>
                  <w:sz w:val="44"/>
                  <w:szCs w:val="44"/>
                </w:rPr>
                <w:alias w:val="Company"/>
                <w:id w:val="13406915"/>
                <w:placeholder>
                  <w:docPart w:val="051862398A1740C09D60E135E7CC4BD5"/>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14:paraId="4E1268BA" w14:textId="035FDD6B" w:rsidR="005F405F" w:rsidRDefault="005F405F">
                    <w:pPr>
                      <w:pStyle w:val="NoSpacing"/>
                      <w:rPr>
                        <w:color w:val="2F5496" w:themeColor="accent1" w:themeShade="BF"/>
                        <w:sz w:val="24"/>
                      </w:rPr>
                    </w:pPr>
                    <w:r w:rsidRPr="00740DDB">
                      <w:rPr>
                        <w:color w:val="0B78B7"/>
                        <w:sz w:val="44"/>
                        <w:szCs w:val="44"/>
                      </w:rPr>
                      <w:t>Script Molecular</w:t>
                    </w:r>
                  </w:p>
                </w:tc>
              </w:sdtContent>
            </w:sdt>
          </w:tr>
          <w:tr w:rsidR="005F405F" w14:paraId="022CAE70" w14:textId="77777777">
            <w:tc>
              <w:tcPr>
                <w:tcW w:w="7672" w:type="dxa"/>
              </w:tcPr>
              <w:sdt>
                <w:sdtPr>
                  <w:rPr>
                    <w:rFonts w:asciiTheme="majorHAnsi" w:eastAsiaTheme="majorEastAsia" w:hAnsiTheme="majorHAnsi" w:cstheme="majorBidi"/>
                    <w:b/>
                    <w:bCs/>
                    <w:color w:val="0B78B7"/>
                    <w:sz w:val="88"/>
                    <w:szCs w:val="88"/>
                  </w:rPr>
                  <w:alias w:val="Title"/>
                  <w:id w:val="13406919"/>
                  <w:placeholder>
                    <w:docPart w:val="5FA409BB9411415191660760B6CA0236"/>
                  </w:placeholder>
                  <w:dataBinding w:prefixMappings="xmlns:ns0='http://schemas.openxmlformats.org/package/2006/metadata/core-properties' xmlns:ns1='http://purl.org/dc/elements/1.1/'" w:xpath="/ns0:coreProperties[1]/ns1:title[1]" w:storeItemID="{6C3C8BC8-F283-45AE-878A-BAB7291924A1}"/>
                  <w:text/>
                </w:sdtPr>
                <w:sdtContent>
                  <w:p w14:paraId="01BE721F" w14:textId="1369A87C" w:rsidR="005F405F" w:rsidRPr="00D82B8D" w:rsidRDefault="00F13D2F">
                    <w:pPr>
                      <w:pStyle w:val="NoSpacing"/>
                      <w:spacing w:line="216" w:lineRule="auto"/>
                      <w:rPr>
                        <w:rFonts w:asciiTheme="majorHAnsi" w:eastAsiaTheme="majorEastAsia" w:hAnsiTheme="majorHAnsi" w:cstheme="majorBidi"/>
                        <w:b/>
                        <w:bCs/>
                        <w:color w:val="0B78B7"/>
                        <w:sz w:val="88"/>
                        <w:szCs w:val="88"/>
                      </w:rPr>
                    </w:pPr>
                    <w:r w:rsidRPr="00D82B8D">
                      <w:rPr>
                        <w:rFonts w:asciiTheme="majorHAnsi" w:eastAsiaTheme="majorEastAsia" w:hAnsiTheme="majorHAnsi" w:cstheme="majorBidi"/>
                        <w:b/>
                        <w:bCs/>
                        <w:color w:val="0B78B7"/>
                        <w:sz w:val="88"/>
                        <w:szCs w:val="88"/>
                      </w:rPr>
                      <w:t xml:space="preserve">The Product Development Process </w:t>
                    </w:r>
                  </w:p>
                </w:sdtContent>
              </w:sdt>
            </w:tc>
          </w:tr>
          <w:tr w:rsidR="005F405F" w14:paraId="5637FAE5" w14:textId="77777777">
            <w:sdt>
              <w:sdtPr>
                <w:rPr>
                  <w:rFonts w:asciiTheme="majorHAnsi" w:eastAsiaTheme="majorEastAsia" w:hAnsiTheme="majorHAnsi" w:cstheme="majorBidi"/>
                  <w:b/>
                  <w:bCs/>
                  <w:color w:val="C00000"/>
                  <w:sz w:val="72"/>
                  <w:szCs w:val="72"/>
                </w:rPr>
                <w:alias w:val="Subtitle"/>
                <w:id w:val="13406923"/>
                <w:placeholder>
                  <w:docPart w:val="B8010F8C81254D74A392FD3AD333133F"/>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072CA163" w14:textId="0E82395E" w:rsidR="005F405F" w:rsidRDefault="00D82B8D">
                    <w:pPr>
                      <w:pStyle w:val="NoSpacing"/>
                      <w:rPr>
                        <w:color w:val="2F5496" w:themeColor="accent1" w:themeShade="BF"/>
                        <w:sz w:val="24"/>
                      </w:rPr>
                    </w:pPr>
                    <w:r w:rsidRPr="00D82B8D">
                      <w:rPr>
                        <w:rFonts w:asciiTheme="majorHAnsi" w:eastAsiaTheme="majorEastAsia" w:hAnsiTheme="majorHAnsi" w:cstheme="majorBidi"/>
                        <w:b/>
                        <w:bCs/>
                        <w:color w:val="C00000"/>
                        <w:sz w:val="72"/>
                        <w:szCs w:val="72"/>
                      </w:rPr>
                      <w:t xml:space="preserve"> </w:t>
                    </w:r>
                    <w:r w:rsidRPr="00D82B8D">
                      <w:rPr>
                        <w:rFonts w:asciiTheme="majorHAnsi" w:eastAsiaTheme="majorEastAsia" w:hAnsiTheme="majorHAnsi" w:cstheme="majorBidi"/>
                        <w:b/>
                        <w:bCs/>
                        <w:color w:val="C00000"/>
                        <w:sz w:val="72"/>
                        <w:szCs w:val="72"/>
                      </w:rPr>
                      <w:t>Pre-Submission</w:t>
                    </w:r>
                    <w:r w:rsidRPr="00D82B8D">
                      <w:rPr>
                        <w:rFonts w:asciiTheme="majorHAnsi" w:eastAsiaTheme="majorEastAsia" w:hAnsiTheme="majorHAnsi" w:cstheme="majorBidi"/>
                        <w:b/>
                        <w:bCs/>
                        <w:color w:val="C00000"/>
                        <w:sz w:val="72"/>
                        <w:szCs w:val="72"/>
                      </w:rPr>
                      <w:t xml:space="preserve"> </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20"/>
          </w:tblGrid>
          <w:tr w:rsidR="005F405F" w14:paraId="4CC09635" w14:textId="77777777">
            <w:tc>
              <w:tcPr>
                <w:tcW w:w="7221" w:type="dxa"/>
                <w:tcMar>
                  <w:top w:w="216" w:type="dxa"/>
                  <w:left w:w="115" w:type="dxa"/>
                  <w:bottom w:w="216" w:type="dxa"/>
                  <w:right w:w="115" w:type="dxa"/>
                </w:tcMar>
              </w:tcPr>
              <w:sdt>
                <w:sdtPr>
                  <w:rPr>
                    <w:b/>
                    <w:bCs/>
                    <w:color w:val="0B78B7"/>
                    <w:sz w:val="28"/>
                    <w:szCs w:val="28"/>
                  </w:rPr>
                  <w:alias w:val="Author"/>
                  <w:id w:val="13406928"/>
                  <w:placeholder>
                    <w:docPart w:val="0FEFB3F9BA8F4760BFA8F631444CBF0C"/>
                  </w:placeholder>
                  <w:dataBinding w:prefixMappings="xmlns:ns0='http://schemas.openxmlformats.org/package/2006/metadata/core-properties' xmlns:ns1='http://purl.org/dc/elements/1.1/'" w:xpath="/ns0:coreProperties[1]/ns1:creator[1]" w:storeItemID="{6C3C8BC8-F283-45AE-878A-BAB7291924A1}"/>
                  <w:text/>
                </w:sdtPr>
                <w:sdtContent>
                  <w:p w14:paraId="3CA114A7" w14:textId="69CE2D03" w:rsidR="005F405F" w:rsidRDefault="00740DDB">
                    <w:pPr>
                      <w:pStyle w:val="NoSpacing"/>
                      <w:rPr>
                        <w:color w:val="4472C4" w:themeColor="accent1"/>
                        <w:sz w:val="28"/>
                        <w:szCs w:val="28"/>
                      </w:rPr>
                    </w:pPr>
                    <w:r w:rsidRPr="00740DDB">
                      <w:rPr>
                        <w:b/>
                        <w:bCs/>
                        <w:color w:val="0B78B7"/>
                        <w:sz w:val="28"/>
                        <w:szCs w:val="28"/>
                      </w:rPr>
                      <w:t>Srilekha Deka</w:t>
                    </w:r>
                  </w:p>
                </w:sdtContent>
              </w:sdt>
              <w:sdt>
                <w:sdtPr>
                  <w:rPr>
                    <w:b/>
                    <w:bCs/>
                    <w:color w:val="0B78B7"/>
                    <w:sz w:val="28"/>
                    <w:szCs w:val="28"/>
                  </w:rPr>
                  <w:alias w:val="Date"/>
                  <w:tag w:val="Date"/>
                  <w:id w:val="13406932"/>
                  <w:placeholder>
                    <w:docPart w:val="FDCD34191F6A4639BAE1B36722148CB5"/>
                  </w:placeholder>
                  <w:dataBinding w:prefixMappings="xmlns:ns0='http://schemas.microsoft.com/office/2006/coverPageProps'" w:xpath="/ns0:CoverPageProperties[1]/ns0:PublishDate[1]" w:storeItemID="{55AF091B-3C7A-41E3-B477-F2FDAA23CFDA}"/>
                  <w:date w:fullDate="2023-04-27T00:00:00Z">
                    <w:dateFormat w:val="M-d-yyyy"/>
                    <w:lid w:val="en-US"/>
                    <w:storeMappedDataAs w:val="dateTime"/>
                    <w:calendar w:val="gregorian"/>
                  </w:date>
                </w:sdtPr>
                <w:sdtContent>
                  <w:p w14:paraId="0AA21CCB" w14:textId="0CB9B5B3" w:rsidR="005F405F" w:rsidRDefault="00740DDB">
                    <w:pPr>
                      <w:pStyle w:val="NoSpacing"/>
                      <w:rPr>
                        <w:color w:val="4472C4" w:themeColor="accent1"/>
                        <w:sz w:val="28"/>
                        <w:szCs w:val="28"/>
                      </w:rPr>
                    </w:pPr>
                    <w:r w:rsidRPr="00740DDB">
                      <w:rPr>
                        <w:b/>
                        <w:bCs/>
                        <w:color w:val="0B78B7"/>
                        <w:sz w:val="28"/>
                        <w:szCs w:val="28"/>
                      </w:rPr>
                      <w:t>April 27, 2023</w:t>
                    </w:r>
                  </w:p>
                </w:sdtContent>
              </w:sdt>
              <w:p w14:paraId="08374E39" w14:textId="77777777" w:rsidR="005F405F" w:rsidRDefault="005F405F">
                <w:pPr>
                  <w:pStyle w:val="NoSpacing"/>
                  <w:rPr>
                    <w:color w:val="4472C4" w:themeColor="accent1"/>
                  </w:rPr>
                </w:pPr>
              </w:p>
            </w:tc>
          </w:tr>
        </w:tbl>
        <w:p w14:paraId="797122E8" w14:textId="77777777" w:rsidR="005F405F" w:rsidRDefault="005F405F">
          <w:pPr>
            <w:jc w:val="left"/>
            <w:rPr>
              <w:rFonts w:asciiTheme="majorHAnsi" w:eastAsiaTheme="majorEastAsia" w:hAnsiTheme="majorHAnsi" w:cstheme="majorBidi"/>
              <w:color w:val="2F5496" w:themeColor="accent1" w:themeShade="BF"/>
              <w:sz w:val="32"/>
              <w:szCs w:val="32"/>
            </w:rPr>
          </w:pPr>
          <w:r>
            <w:br w:type="page"/>
          </w:r>
        </w:p>
      </w:sdtContent>
    </w:sdt>
    <w:sdt>
      <w:sdtPr>
        <w:id w:val="-707954107"/>
        <w:docPartObj>
          <w:docPartGallery w:val="Table of Contents"/>
          <w:docPartUnique/>
        </w:docPartObj>
      </w:sdtPr>
      <w:sdtEndPr>
        <w:rPr>
          <w:rFonts w:asciiTheme="minorHAnsi" w:eastAsiaTheme="minorHAnsi" w:hAnsiTheme="minorHAnsi" w:cstheme="minorBidi"/>
          <w:b/>
          <w:bCs/>
          <w:noProof/>
          <w:color w:val="525252" w:themeColor="accent3" w:themeShade="80"/>
          <w:sz w:val="24"/>
          <w:szCs w:val="22"/>
        </w:rPr>
      </w:sdtEndPr>
      <w:sdtContent>
        <w:p w14:paraId="28E1E547" w14:textId="7F04E278" w:rsidR="004A3C8F" w:rsidRPr="00740DDB" w:rsidRDefault="004A3C8F">
          <w:pPr>
            <w:pStyle w:val="TOCHeading"/>
            <w:rPr>
              <w:b/>
              <w:bCs/>
              <w:color w:val="0B78B7"/>
            </w:rPr>
          </w:pPr>
          <w:r w:rsidRPr="00740DDB">
            <w:rPr>
              <w:b/>
              <w:bCs/>
              <w:color w:val="0B78B7"/>
            </w:rPr>
            <w:t>Contents</w:t>
          </w:r>
        </w:p>
        <w:p w14:paraId="6B5E2D08" w14:textId="15A2D89A" w:rsidR="00740DDB" w:rsidRDefault="004A3C8F">
          <w:pPr>
            <w:pStyle w:val="TOC1"/>
            <w:tabs>
              <w:tab w:val="right" w:leader="dot" w:pos="9350"/>
            </w:tabs>
            <w:rPr>
              <w:rFonts w:eastAsiaTheme="minorEastAsia"/>
              <w:noProof/>
              <w:color w:val="auto"/>
              <w:sz w:val="22"/>
            </w:rPr>
          </w:pPr>
          <w:r>
            <w:fldChar w:fldCharType="begin"/>
          </w:r>
          <w:r>
            <w:instrText xml:space="preserve"> TOC \o "1-3" \h \z \u </w:instrText>
          </w:r>
          <w:r>
            <w:fldChar w:fldCharType="separate"/>
          </w:r>
          <w:hyperlink w:anchor="_Toc133501923" w:history="1">
            <w:r w:rsidR="00740DDB" w:rsidRPr="00F065AB">
              <w:rPr>
                <w:rStyle w:val="Hyperlink"/>
                <w:b/>
                <w:bCs/>
                <w:noProof/>
              </w:rPr>
              <w:t>Introduction</w:t>
            </w:r>
            <w:r w:rsidR="00740DDB">
              <w:rPr>
                <w:noProof/>
                <w:webHidden/>
              </w:rPr>
              <w:tab/>
            </w:r>
            <w:r w:rsidR="00740DDB">
              <w:rPr>
                <w:noProof/>
                <w:webHidden/>
              </w:rPr>
              <w:fldChar w:fldCharType="begin"/>
            </w:r>
            <w:r w:rsidR="00740DDB">
              <w:rPr>
                <w:noProof/>
                <w:webHidden/>
              </w:rPr>
              <w:instrText xml:space="preserve"> PAGEREF _Toc133501923 \h </w:instrText>
            </w:r>
            <w:r w:rsidR="00740DDB">
              <w:rPr>
                <w:noProof/>
                <w:webHidden/>
              </w:rPr>
            </w:r>
            <w:r w:rsidR="00740DDB">
              <w:rPr>
                <w:noProof/>
                <w:webHidden/>
              </w:rPr>
              <w:fldChar w:fldCharType="separate"/>
            </w:r>
            <w:r w:rsidR="00740DDB">
              <w:rPr>
                <w:noProof/>
                <w:webHidden/>
              </w:rPr>
              <w:t>2</w:t>
            </w:r>
            <w:r w:rsidR="00740DDB">
              <w:rPr>
                <w:noProof/>
                <w:webHidden/>
              </w:rPr>
              <w:fldChar w:fldCharType="end"/>
            </w:r>
          </w:hyperlink>
        </w:p>
        <w:p w14:paraId="16F2708A" w14:textId="50475F0F" w:rsidR="00740DDB" w:rsidRDefault="00740DDB">
          <w:pPr>
            <w:pStyle w:val="TOC1"/>
            <w:tabs>
              <w:tab w:val="right" w:leader="dot" w:pos="9350"/>
            </w:tabs>
            <w:rPr>
              <w:rFonts w:eastAsiaTheme="minorEastAsia"/>
              <w:noProof/>
              <w:color w:val="auto"/>
              <w:sz w:val="22"/>
            </w:rPr>
          </w:pPr>
          <w:hyperlink w:anchor="_Toc133501924" w:history="1">
            <w:r w:rsidRPr="00F065AB">
              <w:rPr>
                <w:rStyle w:val="Hyperlink"/>
                <w:b/>
                <w:bCs/>
                <w:noProof/>
              </w:rPr>
              <w:t>Medical Device Classification</w:t>
            </w:r>
            <w:r>
              <w:rPr>
                <w:noProof/>
                <w:webHidden/>
              </w:rPr>
              <w:tab/>
            </w:r>
            <w:r>
              <w:rPr>
                <w:noProof/>
                <w:webHidden/>
              </w:rPr>
              <w:fldChar w:fldCharType="begin"/>
            </w:r>
            <w:r>
              <w:rPr>
                <w:noProof/>
                <w:webHidden/>
              </w:rPr>
              <w:instrText xml:space="preserve"> PAGEREF _Toc133501924 \h </w:instrText>
            </w:r>
            <w:r>
              <w:rPr>
                <w:noProof/>
                <w:webHidden/>
              </w:rPr>
            </w:r>
            <w:r>
              <w:rPr>
                <w:noProof/>
                <w:webHidden/>
              </w:rPr>
              <w:fldChar w:fldCharType="separate"/>
            </w:r>
            <w:r>
              <w:rPr>
                <w:noProof/>
                <w:webHidden/>
              </w:rPr>
              <w:t>2</w:t>
            </w:r>
            <w:r>
              <w:rPr>
                <w:noProof/>
                <w:webHidden/>
              </w:rPr>
              <w:fldChar w:fldCharType="end"/>
            </w:r>
          </w:hyperlink>
        </w:p>
        <w:p w14:paraId="6DD40F82" w14:textId="2927E3CE" w:rsidR="00740DDB" w:rsidRDefault="00740DDB">
          <w:pPr>
            <w:pStyle w:val="TOC1"/>
            <w:tabs>
              <w:tab w:val="right" w:leader="dot" w:pos="9350"/>
            </w:tabs>
            <w:rPr>
              <w:rFonts w:eastAsiaTheme="minorEastAsia"/>
              <w:noProof/>
              <w:color w:val="auto"/>
              <w:sz w:val="22"/>
            </w:rPr>
          </w:pPr>
          <w:hyperlink w:anchor="_Toc133501925" w:history="1">
            <w:r w:rsidRPr="00F065AB">
              <w:rPr>
                <w:rStyle w:val="Hyperlink"/>
                <w:b/>
                <w:bCs/>
                <w:noProof/>
              </w:rPr>
              <w:t>The Process</w:t>
            </w:r>
            <w:r>
              <w:rPr>
                <w:noProof/>
                <w:webHidden/>
              </w:rPr>
              <w:tab/>
            </w:r>
            <w:r>
              <w:rPr>
                <w:noProof/>
                <w:webHidden/>
              </w:rPr>
              <w:fldChar w:fldCharType="begin"/>
            </w:r>
            <w:r>
              <w:rPr>
                <w:noProof/>
                <w:webHidden/>
              </w:rPr>
              <w:instrText xml:space="preserve"> PAGEREF _Toc133501925 \h </w:instrText>
            </w:r>
            <w:r>
              <w:rPr>
                <w:noProof/>
                <w:webHidden/>
              </w:rPr>
            </w:r>
            <w:r>
              <w:rPr>
                <w:noProof/>
                <w:webHidden/>
              </w:rPr>
              <w:fldChar w:fldCharType="separate"/>
            </w:r>
            <w:r>
              <w:rPr>
                <w:noProof/>
                <w:webHidden/>
              </w:rPr>
              <w:t>3</w:t>
            </w:r>
            <w:r>
              <w:rPr>
                <w:noProof/>
                <w:webHidden/>
              </w:rPr>
              <w:fldChar w:fldCharType="end"/>
            </w:r>
          </w:hyperlink>
        </w:p>
        <w:p w14:paraId="7B63E2F6" w14:textId="5DF291CC" w:rsidR="00740DDB" w:rsidRDefault="00740DDB">
          <w:pPr>
            <w:pStyle w:val="TOC1"/>
            <w:tabs>
              <w:tab w:val="right" w:leader="dot" w:pos="9350"/>
            </w:tabs>
            <w:rPr>
              <w:rFonts w:eastAsiaTheme="minorEastAsia"/>
              <w:noProof/>
              <w:color w:val="auto"/>
              <w:sz w:val="22"/>
            </w:rPr>
          </w:pPr>
          <w:hyperlink w:anchor="_Toc133501926" w:history="1">
            <w:r w:rsidRPr="00F065AB">
              <w:rPr>
                <w:rStyle w:val="Hyperlink"/>
                <w:b/>
                <w:bCs/>
                <w:noProof/>
              </w:rPr>
              <w:t>Advantages</w:t>
            </w:r>
            <w:r>
              <w:rPr>
                <w:noProof/>
                <w:webHidden/>
              </w:rPr>
              <w:tab/>
            </w:r>
            <w:r>
              <w:rPr>
                <w:noProof/>
                <w:webHidden/>
              </w:rPr>
              <w:fldChar w:fldCharType="begin"/>
            </w:r>
            <w:r>
              <w:rPr>
                <w:noProof/>
                <w:webHidden/>
              </w:rPr>
              <w:instrText xml:space="preserve"> PAGEREF _Toc133501926 \h </w:instrText>
            </w:r>
            <w:r>
              <w:rPr>
                <w:noProof/>
                <w:webHidden/>
              </w:rPr>
            </w:r>
            <w:r>
              <w:rPr>
                <w:noProof/>
                <w:webHidden/>
              </w:rPr>
              <w:fldChar w:fldCharType="separate"/>
            </w:r>
            <w:r>
              <w:rPr>
                <w:noProof/>
                <w:webHidden/>
              </w:rPr>
              <w:t>3</w:t>
            </w:r>
            <w:r>
              <w:rPr>
                <w:noProof/>
                <w:webHidden/>
              </w:rPr>
              <w:fldChar w:fldCharType="end"/>
            </w:r>
          </w:hyperlink>
        </w:p>
        <w:p w14:paraId="4206F792" w14:textId="1B61871A" w:rsidR="00740DDB" w:rsidRDefault="00740DDB">
          <w:pPr>
            <w:pStyle w:val="TOC1"/>
            <w:tabs>
              <w:tab w:val="right" w:leader="dot" w:pos="9350"/>
            </w:tabs>
            <w:rPr>
              <w:rFonts w:eastAsiaTheme="minorEastAsia"/>
              <w:noProof/>
              <w:color w:val="auto"/>
              <w:sz w:val="22"/>
            </w:rPr>
          </w:pPr>
          <w:hyperlink w:anchor="_Toc133501927" w:history="1">
            <w:r w:rsidRPr="00F065AB">
              <w:rPr>
                <w:rStyle w:val="Hyperlink"/>
                <w:b/>
                <w:bCs/>
                <w:noProof/>
              </w:rPr>
              <w:t>Content</w:t>
            </w:r>
            <w:r>
              <w:rPr>
                <w:noProof/>
                <w:webHidden/>
              </w:rPr>
              <w:tab/>
            </w:r>
            <w:r>
              <w:rPr>
                <w:noProof/>
                <w:webHidden/>
              </w:rPr>
              <w:fldChar w:fldCharType="begin"/>
            </w:r>
            <w:r>
              <w:rPr>
                <w:noProof/>
                <w:webHidden/>
              </w:rPr>
              <w:instrText xml:space="preserve"> PAGEREF _Toc133501927 \h </w:instrText>
            </w:r>
            <w:r>
              <w:rPr>
                <w:noProof/>
                <w:webHidden/>
              </w:rPr>
            </w:r>
            <w:r>
              <w:rPr>
                <w:noProof/>
                <w:webHidden/>
              </w:rPr>
              <w:fldChar w:fldCharType="separate"/>
            </w:r>
            <w:r>
              <w:rPr>
                <w:noProof/>
                <w:webHidden/>
              </w:rPr>
              <w:t>4</w:t>
            </w:r>
            <w:r>
              <w:rPr>
                <w:noProof/>
                <w:webHidden/>
              </w:rPr>
              <w:fldChar w:fldCharType="end"/>
            </w:r>
          </w:hyperlink>
        </w:p>
        <w:p w14:paraId="20546DCA" w14:textId="6421BE3F" w:rsidR="00740DDB" w:rsidRDefault="00740DDB">
          <w:pPr>
            <w:pStyle w:val="TOC1"/>
            <w:tabs>
              <w:tab w:val="right" w:leader="dot" w:pos="9350"/>
            </w:tabs>
            <w:rPr>
              <w:rFonts w:eastAsiaTheme="minorEastAsia"/>
              <w:noProof/>
              <w:color w:val="auto"/>
              <w:sz w:val="22"/>
            </w:rPr>
          </w:pPr>
          <w:hyperlink w:anchor="_Toc133501928" w:history="1">
            <w:r w:rsidRPr="00F065AB">
              <w:rPr>
                <w:rStyle w:val="Hyperlink"/>
                <w:b/>
                <w:bCs/>
                <w:noProof/>
              </w:rPr>
              <w:t>Summary</w:t>
            </w:r>
            <w:r>
              <w:rPr>
                <w:noProof/>
                <w:webHidden/>
              </w:rPr>
              <w:tab/>
            </w:r>
            <w:r>
              <w:rPr>
                <w:noProof/>
                <w:webHidden/>
              </w:rPr>
              <w:fldChar w:fldCharType="begin"/>
            </w:r>
            <w:r>
              <w:rPr>
                <w:noProof/>
                <w:webHidden/>
              </w:rPr>
              <w:instrText xml:space="preserve"> PAGEREF _Toc133501928 \h </w:instrText>
            </w:r>
            <w:r>
              <w:rPr>
                <w:noProof/>
                <w:webHidden/>
              </w:rPr>
            </w:r>
            <w:r>
              <w:rPr>
                <w:noProof/>
                <w:webHidden/>
              </w:rPr>
              <w:fldChar w:fldCharType="separate"/>
            </w:r>
            <w:r>
              <w:rPr>
                <w:noProof/>
                <w:webHidden/>
              </w:rPr>
              <w:t>4</w:t>
            </w:r>
            <w:r>
              <w:rPr>
                <w:noProof/>
                <w:webHidden/>
              </w:rPr>
              <w:fldChar w:fldCharType="end"/>
            </w:r>
          </w:hyperlink>
        </w:p>
        <w:p w14:paraId="62049860" w14:textId="33DA1142" w:rsidR="00740DDB" w:rsidRDefault="00740DDB">
          <w:pPr>
            <w:pStyle w:val="TOC1"/>
            <w:tabs>
              <w:tab w:val="right" w:leader="dot" w:pos="9350"/>
            </w:tabs>
            <w:rPr>
              <w:rFonts w:eastAsiaTheme="minorEastAsia"/>
              <w:noProof/>
              <w:color w:val="auto"/>
              <w:sz w:val="22"/>
            </w:rPr>
          </w:pPr>
          <w:hyperlink w:anchor="_Toc133501929" w:history="1">
            <w:r w:rsidRPr="00F065AB">
              <w:rPr>
                <w:rStyle w:val="Hyperlink"/>
                <w:b/>
                <w:bCs/>
                <w:noProof/>
              </w:rPr>
              <w:t>References:</w:t>
            </w:r>
            <w:r>
              <w:rPr>
                <w:noProof/>
                <w:webHidden/>
              </w:rPr>
              <w:tab/>
            </w:r>
            <w:r>
              <w:rPr>
                <w:noProof/>
                <w:webHidden/>
              </w:rPr>
              <w:fldChar w:fldCharType="begin"/>
            </w:r>
            <w:r>
              <w:rPr>
                <w:noProof/>
                <w:webHidden/>
              </w:rPr>
              <w:instrText xml:space="preserve"> PAGEREF _Toc133501929 \h </w:instrText>
            </w:r>
            <w:r>
              <w:rPr>
                <w:noProof/>
                <w:webHidden/>
              </w:rPr>
            </w:r>
            <w:r>
              <w:rPr>
                <w:noProof/>
                <w:webHidden/>
              </w:rPr>
              <w:fldChar w:fldCharType="separate"/>
            </w:r>
            <w:r>
              <w:rPr>
                <w:noProof/>
                <w:webHidden/>
              </w:rPr>
              <w:t>4</w:t>
            </w:r>
            <w:r>
              <w:rPr>
                <w:noProof/>
                <w:webHidden/>
              </w:rPr>
              <w:fldChar w:fldCharType="end"/>
            </w:r>
          </w:hyperlink>
        </w:p>
        <w:p w14:paraId="7D25AA22" w14:textId="65568B57" w:rsidR="004A3C8F" w:rsidRDefault="004A3C8F">
          <w:r>
            <w:rPr>
              <w:b/>
              <w:bCs/>
              <w:noProof/>
            </w:rPr>
            <w:fldChar w:fldCharType="end"/>
          </w:r>
        </w:p>
      </w:sdtContent>
    </w:sdt>
    <w:p w14:paraId="4F93D9B3" w14:textId="77777777" w:rsidR="004A3C8F" w:rsidRDefault="004A3C8F">
      <w:pPr>
        <w:jc w:val="left"/>
        <w:rPr>
          <w:rFonts w:asciiTheme="majorHAnsi" w:eastAsiaTheme="majorEastAsia" w:hAnsiTheme="majorHAnsi" w:cstheme="majorBidi"/>
          <w:color w:val="2F5496" w:themeColor="accent1" w:themeShade="BF"/>
          <w:sz w:val="32"/>
          <w:szCs w:val="32"/>
        </w:rPr>
      </w:pPr>
      <w:r>
        <w:br w:type="page"/>
      </w:r>
    </w:p>
    <w:p w14:paraId="1BD983BB" w14:textId="33FB6D10" w:rsidR="004A3C8F" w:rsidRPr="00740DDB" w:rsidRDefault="004A3C8F" w:rsidP="004A3C8F">
      <w:pPr>
        <w:pStyle w:val="Heading1"/>
        <w:rPr>
          <w:b/>
          <w:bCs/>
          <w:color w:val="0B78B7"/>
        </w:rPr>
      </w:pPr>
      <w:bookmarkStart w:id="0" w:name="_Toc133501923"/>
      <w:r w:rsidRPr="00740DDB">
        <w:rPr>
          <w:b/>
          <w:bCs/>
          <w:color w:val="0B78B7"/>
        </w:rPr>
        <w:lastRenderedPageBreak/>
        <w:t>Introduction</w:t>
      </w:r>
      <w:bookmarkEnd w:id="0"/>
    </w:p>
    <w:p w14:paraId="7D077709" w14:textId="54FC7E15" w:rsidR="004A3C8F" w:rsidRDefault="004A3C8F" w:rsidP="004A3C8F">
      <w:r>
        <w:t xml:space="preserve">Development of molecular diagnostic products begins with an innovative concept. Developing that concept into a diagnostic product involves multiple coordinated steps. Regulatory agencies like the Food and Drug Administration (FDA) that govern the development of </w:t>
      </w:r>
      <w:r>
        <w:t>in vitro diagnostic (IVD)</w:t>
      </w:r>
      <w:r>
        <w:t xml:space="preserve"> products have set up guidelines that need to be followed by assay developers.</w:t>
      </w:r>
    </w:p>
    <w:p w14:paraId="72DAD988" w14:textId="78A31A1F" w:rsidR="00447217" w:rsidRDefault="004A3C8F" w:rsidP="00464C12">
      <w:r>
        <w:t xml:space="preserve">A well-defined pre-submission to the FDA is an essential early step that initiates interaction of the medical device developers and FDA (as the regulatory agency). </w:t>
      </w:r>
      <w:r w:rsidR="00B507A0">
        <w:t>Through the pre-submission process, manufacturer</w:t>
      </w:r>
      <w:r w:rsidR="00F149BA">
        <w:t>s can request feedback from the FDA regarding potential or planned</w:t>
      </w:r>
      <w:r w:rsidR="0018663C">
        <w:t xml:space="preserve"> medical device </w:t>
      </w:r>
      <w:r w:rsidR="00464C12">
        <w:t>applications or other premarket submissions</w:t>
      </w:r>
      <w:r w:rsidR="00615098" w:rsidRPr="00A97A0D">
        <w:rPr>
          <w:color w:val="0B78B7"/>
          <w:vertAlign w:val="superscript"/>
        </w:rPr>
        <w:fldChar w:fldCharType="begin"/>
      </w:r>
      <w:r w:rsidR="00615098" w:rsidRPr="00A97A0D">
        <w:rPr>
          <w:color w:val="0B78B7"/>
          <w:vertAlign w:val="superscript"/>
        </w:rPr>
        <w:instrText xml:space="preserve"> REF _Ref133501999 \r \h </w:instrText>
      </w:r>
      <w:r w:rsidR="00615098" w:rsidRPr="00A97A0D">
        <w:rPr>
          <w:color w:val="0B78B7"/>
          <w:vertAlign w:val="superscript"/>
        </w:rPr>
      </w:r>
      <w:r w:rsidR="001E34E2" w:rsidRPr="00A97A0D">
        <w:rPr>
          <w:color w:val="0B78B7"/>
          <w:vertAlign w:val="superscript"/>
        </w:rPr>
        <w:instrText xml:space="preserve"> \* MERGEFORMAT </w:instrText>
      </w:r>
      <w:r w:rsidR="00615098" w:rsidRPr="00A97A0D">
        <w:rPr>
          <w:color w:val="0B78B7"/>
          <w:vertAlign w:val="superscript"/>
        </w:rPr>
        <w:fldChar w:fldCharType="separate"/>
      </w:r>
      <w:r w:rsidR="00615098" w:rsidRPr="00A97A0D">
        <w:rPr>
          <w:color w:val="0B78B7"/>
          <w:vertAlign w:val="superscript"/>
        </w:rPr>
        <w:t>3</w:t>
      </w:r>
      <w:r w:rsidR="00615098" w:rsidRPr="00A97A0D">
        <w:rPr>
          <w:color w:val="0B78B7"/>
          <w:vertAlign w:val="superscript"/>
        </w:rPr>
        <w:fldChar w:fldCharType="end"/>
      </w:r>
      <w:r w:rsidR="00464C12">
        <w:t xml:space="preserve">, such as </w:t>
      </w:r>
    </w:p>
    <w:p w14:paraId="0FD6B41F" w14:textId="77777777" w:rsidR="001D2C35" w:rsidRDefault="001D2C35" w:rsidP="00FF1FA1">
      <w:pPr>
        <w:pStyle w:val="ListParagraph"/>
        <w:numPr>
          <w:ilvl w:val="0"/>
          <w:numId w:val="2"/>
        </w:numPr>
      </w:pPr>
      <w:r>
        <w:t xml:space="preserve">Investigational Device Exemption (IDE) applications </w:t>
      </w:r>
    </w:p>
    <w:p w14:paraId="0E4CD788" w14:textId="22ED976B" w:rsidR="00447217" w:rsidRDefault="00464C12" w:rsidP="00FF1FA1">
      <w:pPr>
        <w:pStyle w:val="ListParagraph"/>
        <w:numPr>
          <w:ilvl w:val="0"/>
          <w:numId w:val="2"/>
        </w:numPr>
      </w:pPr>
      <w:r>
        <w:t>Premarket Approval (PMA) applications</w:t>
      </w:r>
      <w:r>
        <w:t xml:space="preserve"> </w:t>
      </w:r>
    </w:p>
    <w:p w14:paraId="40513F36" w14:textId="758214F3" w:rsidR="00447217" w:rsidRDefault="00464C12" w:rsidP="00FF1FA1">
      <w:pPr>
        <w:pStyle w:val="ListParagraph"/>
        <w:numPr>
          <w:ilvl w:val="0"/>
          <w:numId w:val="2"/>
        </w:numPr>
      </w:pPr>
      <w:r>
        <w:t xml:space="preserve">Humanitarian Device Exemption (HDE) applications </w:t>
      </w:r>
    </w:p>
    <w:p w14:paraId="069FE2C7" w14:textId="1A6A9E73" w:rsidR="00447217" w:rsidRDefault="00464C12" w:rsidP="00FF1FA1">
      <w:pPr>
        <w:pStyle w:val="ListParagraph"/>
        <w:numPr>
          <w:ilvl w:val="0"/>
          <w:numId w:val="2"/>
        </w:numPr>
      </w:pPr>
      <w:r>
        <w:t>Evaluation of Automatic Class III</w:t>
      </w:r>
      <w:r>
        <w:t xml:space="preserve"> </w:t>
      </w:r>
      <w:r>
        <w:t xml:space="preserve">Designations (De Novo requests) </w:t>
      </w:r>
    </w:p>
    <w:p w14:paraId="26F92081" w14:textId="074D521C" w:rsidR="00447217" w:rsidRDefault="00464C12" w:rsidP="00FF1FA1">
      <w:pPr>
        <w:pStyle w:val="ListParagraph"/>
        <w:numPr>
          <w:ilvl w:val="0"/>
          <w:numId w:val="2"/>
        </w:numPr>
      </w:pPr>
      <w:r>
        <w:t xml:space="preserve">Premarket Notification (510(k)) Submissions </w:t>
      </w:r>
    </w:p>
    <w:p w14:paraId="2C7B427A" w14:textId="3C53B5B8" w:rsidR="00FF1FA1" w:rsidRDefault="00464C12" w:rsidP="00FF1FA1">
      <w:pPr>
        <w:pStyle w:val="ListParagraph"/>
        <w:numPr>
          <w:ilvl w:val="0"/>
          <w:numId w:val="2"/>
        </w:numPr>
      </w:pPr>
      <w:r>
        <w:t>Clinical</w:t>
      </w:r>
      <w:r>
        <w:t xml:space="preserve"> </w:t>
      </w:r>
      <w:r>
        <w:t xml:space="preserve">Laboratory Improvement Amendments (CLIA) Waiver by Application </w:t>
      </w:r>
    </w:p>
    <w:p w14:paraId="3AFE2FF6" w14:textId="5F714461" w:rsidR="00FF1FA1" w:rsidRDefault="00464C12" w:rsidP="00FF1FA1">
      <w:pPr>
        <w:pStyle w:val="ListParagraph"/>
        <w:numPr>
          <w:ilvl w:val="0"/>
          <w:numId w:val="2"/>
        </w:numPr>
      </w:pPr>
      <w:r>
        <w:t xml:space="preserve">Investigational New Drug Applications (INDs) </w:t>
      </w:r>
    </w:p>
    <w:p w14:paraId="5A3DE8BC" w14:textId="50138939" w:rsidR="00464C12" w:rsidRDefault="00464C12" w:rsidP="00FF1FA1">
      <w:pPr>
        <w:pStyle w:val="ListParagraph"/>
        <w:numPr>
          <w:ilvl w:val="0"/>
          <w:numId w:val="2"/>
        </w:numPr>
      </w:pPr>
      <w:r>
        <w:t xml:space="preserve">Biologics License Applications (BLAs) </w:t>
      </w:r>
    </w:p>
    <w:p w14:paraId="04295B67" w14:textId="77777777" w:rsidR="004A3C8F" w:rsidRDefault="004A3C8F" w:rsidP="004A3C8F">
      <w:r w:rsidRPr="00E65045">
        <w:t>T</w:t>
      </w:r>
      <w:r>
        <w:t xml:space="preserve">his whitepaper provides guidance for </w:t>
      </w:r>
      <w:r w:rsidRPr="00E65045">
        <w:t xml:space="preserve">the creation of </w:t>
      </w:r>
      <w:r>
        <w:t xml:space="preserve">a </w:t>
      </w:r>
      <w:r w:rsidRPr="00E65045">
        <w:t xml:space="preserve">well-defined pre-submission with required justifications. It also </w:t>
      </w:r>
      <w:r>
        <w:t xml:space="preserve">provides information on what material should be included while drafting </w:t>
      </w:r>
      <w:r w:rsidRPr="00E65045">
        <w:t>assay specific, data driven test plans with statistically appropriate pre-determined acceptance criteria</w:t>
      </w:r>
      <w:r>
        <w:t xml:space="preserve">. A pre-submission that incorporates the appropriate level of detail leads to a more favorable expected outcome and streamlines the design and execution of the analytical and clinical performance studies required for regulatory submissions. </w:t>
      </w:r>
    </w:p>
    <w:p w14:paraId="41A42AED" w14:textId="77777777" w:rsidR="004A3C8F" w:rsidRDefault="004A3C8F" w:rsidP="004A3C8F">
      <w:r>
        <w:t xml:space="preserve">Each product being developed is unique and hence, there is a need for flexibility in addressing each assay and each category of assay, especially when we consider categories for quantitative assays and oncology assays. Here, we discuss outputs required from feasibility studies along with specific guidance for conducting submission studies in a standardized format across product lines. </w:t>
      </w:r>
    </w:p>
    <w:p w14:paraId="39846B63" w14:textId="77777777" w:rsidR="001E77EE" w:rsidRDefault="001E77EE" w:rsidP="004A3C8F"/>
    <w:p w14:paraId="77630289" w14:textId="45EC7858" w:rsidR="00CE52D0" w:rsidRPr="00740DDB" w:rsidRDefault="004A3C8F" w:rsidP="004A3C8F">
      <w:pPr>
        <w:pStyle w:val="Heading1"/>
        <w:rPr>
          <w:b/>
          <w:bCs/>
          <w:color w:val="0B78B7"/>
        </w:rPr>
      </w:pPr>
      <w:bookmarkStart w:id="1" w:name="_Toc133501924"/>
      <w:r w:rsidRPr="00740DDB">
        <w:rPr>
          <w:b/>
          <w:bCs/>
          <w:color w:val="0B78B7"/>
        </w:rPr>
        <w:t>Medical Device</w:t>
      </w:r>
      <w:r w:rsidR="00AB70F4" w:rsidRPr="00740DDB">
        <w:rPr>
          <w:b/>
          <w:bCs/>
          <w:color w:val="0B78B7"/>
        </w:rPr>
        <w:t xml:space="preserve"> Classification</w:t>
      </w:r>
      <w:bookmarkEnd w:id="1"/>
    </w:p>
    <w:p w14:paraId="5FF70169" w14:textId="1E7B5F8A" w:rsidR="000E2767" w:rsidRDefault="004A3C8F">
      <w:r>
        <w:t>Medical devices, including IVD products, are classified by the FDA based on</w:t>
      </w:r>
      <w:r w:rsidR="00184F04">
        <w:t xml:space="preserve"> their intended use and the level of risk they pose to a patient. This determines</w:t>
      </w:r>
      <w:r>
        <w:t xml:space="preserve"> the level of regulatory control required. </w:t>
      </w:r>
      <w:r w:rsidR="00184F04" w:rsidRPr="004A3C8F">
        <w:t xml:space="preserve">Classification </w:t>
      </w:r>
      <w:r w:rsidR="00184F04" w:rsidRPr="004A3C8F">
        <w:t xml:space="preserve">of existing IVDs </w:t>
      </w:r>
      <w:r w:rsidR="00184F04">
        <w:t>is listed in t</w:t>
      </w:r>
      <w:r w:rsidRPr="004A3C8F">
        <w:t>he Code of Federal Regulations 21 CFR 862, 21 CFR 864, and 21 CFR 866</w:t>
      </w:r>
      <w:r w:rsidR="001E34E2" w:rsidRPr="00A97A0D">
        <w:rPr>
          <w:color w:val="0B78B7"/>
          <w:vertAlign w:val="superscript"/>
        </w:rPr>
        <w:fldChar w:fldCharType="begin"/>
      </w:r>
      <w:r w:rsidR="001E34E2" w:rsidRPr="00A97A0D">
        <w:rPr>
          <w:color w:val="0B78B7"/>
          <w:vertAlign w:val="superscript"/>
        </w:rPr>
        <w:instrText xml:space="preserve"> REF _Ref133502039 \r \h </w:instrText>
      </w:r>
      <w:r w:rsidR="001E34E2" w:rsidRPr="00A97A0D">
        <w:rPr>
          <w:color w:val="0B78B7"/>
          <w:vertAlign w:val="superscript"/>
        </w:rPr>
      </w:r>
      <w:r w:rsidR="00FC11F2" w:rsidRPr="00A97A0D">
        <w:rPr>
          <w:color w:val="0B78B7"/>
          <w:vertAlign w:val="superscript"/>
        </w:rPr>
        <w:instrText xml:space="preserve"> \* MERGEFORMAT </w:instrText>
      </w:r>
      <w:r w:rsidR="001E34E2" w:rsidRPr="00A97A0D">
        <w:rPr>
          <w:color w:val="0B78B7"/>
          <w:vertAlign w:val="superscript"/>
        </w:rPr>
        <w:fldChar w:fldCharType="separate"/>
      </w:r>
      <w:r w:rsidR="001E34E2" w:rsidRPr="00A97A0D">
        <w:rPr>
          <w:color w:val="0B78B7"/>
          <w:vertAlign w:val="superscript"/>
        </w:rPr>
        <w:t>1</w:t>
      </w:r>
      <w:r w:rsidR="001E34E2" w:rsidRPr="00A97A0D">
        <w:rPr>
          <w:color w:val="0B78B7"/>
          <w:vertAlign w:val="superscript"/>
        </w:rPr>
        <w:fldChar w:fldCharType="end"/>
      </w:r>
      <w:r w:rsidR="00184F04">
        <w:t>. Medical devices</w:t>
      </w:r>
      <w:r>
        <w:t xml:space="preserve"> have been classified into three categories, Class I, II </w:t>
      </w:r>
      <w:r>
        <w:lastRenderedPageBreak/>
        <w:t>and III</w:t>
      </w:r>
      <w:r w:rsidR="00184F04">
        <w:t>. Classification into these categories determines the degree of regulatory control deemed appropriate to reasonably assure its safety and efficacy. In addition, this also determines the appropriate pre-market process for the specific device.</w:t>
      </w:r>
    </w:p>
    <w:p w14:paraId="4FA74F3C" w14:textId="057B58CA" w:rsidR="001F6493" w:rsidRDefault="007D4E27">
      <w:r w:rsidRPr="001F6493">
        <w:t xml:space="preserve">For </w:t>
      </w:r>
      <w:r w:rsidRPr="001F6493">
        <w:t xml:space="preserve">combination products, which are products that combine drugs, devices, and/or </w:t>
      </w:r>
      <w:r w:rsidR="003F399E" w:rsidRPr="001F6493">
        <w:t>biologics</w:t>
      </w:r>
      <w:r w:rsidR="003F399E">
        <w:t xml:space="preserve">, </w:t>
      </w:r>
      <w:r w:rsidR="003F399E" w:rsidRPr="001F6493">
        <w:t>a</w:t>
      </w:r>
      <w:r w:rsidR="003463CA" w:rsidRPr="001F6493">
        <w:t xml:space="preserve"> separate regulatory pathway</w:t>
      </w:r>
      <w:r w:rsidR="003463CA">
        <w:t xml:space="preserve"> needs to be followed</w:t>
      </w:r>
      <w:r w:rsidR="001F6493" w:rsidRPr="001F6493">
        <w:t>. Combination products are classified based on their primary mode of action.</w:t>
      </w:r>
    </w:p>
    <w:p w14:paraId="46154F70" w14:textId="77777777" w:rsidR="001E77EE" w:rsidRDefault="001E77EE"/>
    <w:p w14:paraId="41CA2181" w14:textId="1BD19D8A" w:rsidR="0072334C" w:rsidRPr="00740DDB" w:rsidRDefault="0072334C" w:rsidP="0072334C">
      <w:pPr>
        <w:pStyle w:val="Heading1"/>
        <w:rPr>
          <w:b/>
          <w:bCs/>
          <w:color w:val="0B78B7"/>
        </w:rPr>
      </w:pPr>
      <w:bookmarkStart w:id="2" w:name="_Toc133501925"/>
      <w:r w:rsidRPr="00740DDB">
        <w:rPr>
          <w:b/>
          <w:bCs/>
          <w:color w:val="0B78B7"/>
        </w:rPr>
        <w:t>The Process</w:t>
      </w:r>
      <w:bookmarkEnd w:id="2"/>
    </w:p>
    <w:p w14:paraId="052CB77E" w14:textId="3F12DE53" w:rsidR="00FF4D84" w:rsidRDefault="00604BCF" w:rsidP="00F34B73">
      <w:r>
        <w:t xml:space="preserve">Prior to submission </w:t>
      </w:r>
      <w:r w:rsidR="002360A9">
        <w:t>of</w:t>
      </w:r>
      <w:r w:rsidR="002360A9" w:rsidRPr="00D4398D">
        <w:t xml:space="preserve"> a formal application </w:t>
      </w:r>
      <w:r w:rsidR="00E71E35">
        <w:t xml:space="preserve">to the FDA </w:t>
      </w:r>
      <w:r w:rsidR="002360A9" w:rsidRPr="00D4398D">
        <w:t>for regulatory approval</w:t>
      </w:r>
      <w:r w:rsidR="002360A9">
        <w:t xml:space="preserve">, medical device manufacturers can </w:t>
      </w:r>
      <w:r w:rsidR="00E71E35">
        <w:t xml:space="preserve">go through the </w:t>
      </w:r>
      <w:r w:rsidR="00D4398D" w:rsidRPr="00D4398D">
        <w:t>pre-submission process</w:t>
      </w:r>
      <w:r w:rsidR="00E71E35">
        <w:t xml:space="preserve">. </w:t>
      </w:r>
      <w:r w:rsidR="008D3373">
        <w:t xml:space="preserve">A </w:t>
      </w:r>
      <w:r w:rsidR="00854514">
        <w:t>p</w:t>
      </w:r>
      <w:r w:rsidR="008D3373">
        <w:t>re-</w:t>
      </w:r>
      <w:r w:rsidR="00854514">
        <w:t>s</w:t>
      </w:r>
      <w:r w:rsidR="008D3373">
        <w:t xml:space="preserve">ubmission </w:t>
      </w:r>
      <w:r w:rsidR="00025B95">
        <w:t xml:space="preserve">to the FDA from the device </w:t>
      </w:r>
      <w:r w:rsidR="00491916">
        <w:t>manufacturer</w:t>
      </w:r>
      <w:r w:rsidR="00025B95">
        <w:t xml:space="preserve"> </w:t>
      </w:r>
      <w:r w:rsidR="00854514">
        <w:t>is</w:t>
      </w:r>
      <w:r w:rsidR="008D3373">
        <w:t xml:space="preserve"> a formal written request for feedback</w:t>
      </w:r>
      <w:r w:rsidR="002A2315">
        <w:t xml:space="preserve">. A </w:t>
      </w:r>
      <w:r w:rsidR="00491916">
        <w:t xml:space="preserve">formal </w:t>
      </w:r>
      <w:r w:rsidR="00025B95">
        <w:t xml:space="preserve">response is then provided by the </w:t>
      </w:r>
      <w:r w:rsidR="00491916">
        <w:t>FDA</w:t>
      </w:r>
      <w:r w:rsidR="00692E3A">
        <w:t xml:space="preserve">, </w:t>
      </w:r>
      <w:r w:rsidR="00BB0193">
        <w:t xml:space="preserve">either as a </w:t>
      </w:r>
      <w:r w:rsidR="0001469B">
        <w:t>written document</w:t>
      </w:r>
      <w:r w:rsidR="00EA4246">
        <w:t xml:space="preserve"> </w:t>
      </w:r>
      <w:r w:rsidR="00692E3A">
        <w:t>or in the form of meeting minutes documented during a teleconference</w:t>
      </w:r>
      <w:r w:rsidR="00A97A0D" w:rsidRPr="00A97A0D">
        <w:rPr>
          <w:color w:val="0B78B7"/>
          <w:vertAlign w:val="superscript"/>
        </w:rPr>
        <w:fldChar w:fldCharType="begin"/>
      </w:r>
      <w:r w:rsidR="00A97A0D" w:rsidRPr="00A97A0D">
        <w:rPr>
          <w:color w:val="0B78B7"/>
          <w:vertAlign w:val="superscript"/>
        </w:rPr>
        <w:instrText xml:space="preserve"> REF _Ref133502146 \r \h </w:instrText>
      </w:r>
      <w:r w:rsidR="00A97A0D" w:rsidRPr="00A97A0D">
        <w:rPr>
          <w:color w:val="0B78B7"/>
          <w:vertAlign w:val="superscript"/>
        </w:rPr>
      </w:r>
      <w:r w:rsidR="00A97A0D" w:rsidRPr="00A97A0D">
        <w:rPr>
          <w:color w:val="0B78B7"/>
          <w:vertAlign w:val="superscript"/>
        </w:rPr>
        <w:instrText xml:space="preserve"> \* MERGEFORMAT </w:instrText>
      </w:r>
      <w:r w:rsidR="00A97A0D" w:rsidRPr="00A97A0D">
        <w:rPr>
          <w:color w:val="0B78B7"/>
          <w:vertAlign w:val="superscript"/>
        </w:rPr>
        <w:fldChar w:fldCharType="separate"/>
      </w:r>
      <w:r w:rsidR="00A97A0D" w:rsidRPr="00A97A0D">
        <w:rPr>
          <w:color w:val="0B78B7"/>
          <w:vertAlign w:val="superscript"/>
        </w:rPr>
        <w:t>2</w:t>
      </w:r>
      <w:r w:rsidR="00A97A0D" w:rsidRPr="00A97A0D">
        <w:rPr>
          <w:color w:val="0B78B7"/>
          <w:vertAlign w:val="superscript"/>
        </w:rPr>
        <w:fldChar w:fldCharType="end"/>
      </w:r>
      <w:r w:rsidR="00EA4246">
        <w:t>.</w:t>
      </w:r>
      <w:r w:rsidR="000F16BE">
        <w:t xml:space="preserve"> </w:t>
      </w:r>
    </w:p>
    <w:p w14:paraId="080335A3" w14:textId="636FC041" w:rsidR="00245453" w:rsidRDefault="000F16BE" w:rsidP="00F34B73">
      <w:r>
        <w:t xml:space="preserve">This process allows device manufacturers to </w:t>
      </w:r>
      <w:r>
        <w:t xml:space="preserve">communicate directly with the FDA to discuss their </w:t>
      </w:r>
      <w:r w:rsidR="003512BD" w:rsidRPr="00D4398D">
        <w:t>device development plans, testing protocols, and clinical trial designs</w:t>
      </w:r>
      <w:r>
        <w:t xml:space="preserve"> and seek advice on how to meet regulatory requirements.</w:t>
      </w:r>
      <w:r w:rsidR="00170980">
        <w:t xml:space="preserve"> </w:t>
      </w:r>
      <w:r w:rsidR="002C044B" w:rsidRPr="002C044B">
        <w:t>The FDA may provide guidance on the regulatory requirements that must be met, the data that will need to be submitted, and any potential issues or concerns with the proposed device</w:t>
      </w:r>
      <w:r w:rsidR="001062DB">
        <w:t xml:space="preserve"> thereby providing valuable information to the device manufacturer which can be incorporated into their product development strategy.</w:t>
      </w:r>
    </w:p>
    <w:p w14:paraId="2FDD825B" w14:textId="2AF42EF7" w:rsidR="002078B6" w:rsidRDefault="00710425" w:rsidP="002078B6">
      <w:r w:rsidRPr="00710425">
        <w:t xml:space="preserve">The pre-submission process can be particularly helpful for novel devices or those with complex development plans, as it allows manufacturers to identify potential issues or concerns </w:t>
      </w:r>
      <w:r w:rsidR="00D34156" w:rsidRPr="00710425">
        <w:t>early in the</w:t>
      </w:r>
      <w:r w:rsidRPr="00710425">
        <w:t xml:space="preserve"> </w:t>
      </w:r>
      <w:r w:rsidR="00D34156">
        <w:t xml:space="preserve">product development </w:t>
      </w:r>
      <w:r w:rsidRPr="00710425">
        <w:t>process.</w:t>
      </w:r>
      <w:r w:rsidRPr="00710425">
        <w:t xml:space="preserve"> </w:t>
      </w:r>
      <w:r w:rsidR="002078B6">
        <w:t xml:space="preserve">This process is especially helpful when the FDA's feedback on specific questions is </w:t>
      </w:r>
      <w:r w:rsidR="00B91679">
        <w:t>needed</w:t>
      </w:r>
      <w:r w:rsidR="00641F4B">
        <w:t xml:space="preserve"> </w:t>
      </w:r>
      <w:r w:rsidR="00DD7E13">
        <w:t>for defining</w:t>
      </w:r>
      <w:r w:rsidR="002078B6">
        <w:t xml:space="preserve"> the product development strategy and for application preparation.</w:t>
      </w:r>
    </w:p>
    <w:p w14:paraId="1ED2D140" w14:textId="5FDE99D3" w:rsidR="001707E2" w:rsidRDefault="0036774A" w:rsidP="00F34B73">
      <w:r>
        <w:t xml:space="preserve">Following review of the pre-submission, the FDA </w:t>
      </w:r>
      <w:r w:rsidR="00835D78">
        <w:t>provides written feedback to the manufacturer</w:t>
      </w:r>
      <w:r w:rsidR="001707E2">
        <w:t xml:space="preserve"> which can help guide their </w:t>
      </w:r>
      <w:r w:rsidR="00E706F9">
        <w:t>device development and performance study design plans</w:t>
      </w:r>
      <w:r w:rsidR="00462B5D">
        <w:t xml:space="preserve">. </w:t>
      </w:r>
      <w:r w:rsidR="00076903">
        <w:t xml:space="preserve">Alignment with the FDA at this early stage in device development </w:t>
      </w:r>
      <w:r w:rsidR="002F58A1">
        <w:t>can help the manufacturers</w:t>
      </w:r>
      <w:r w:rsidR="00655958">
        <w:t xml:space="preserve"> develop a robust regulatory submission package </w:t>
      </w:r>
      <w:r w:rsidR="00F271C0">
        <w:t xml:space="preserve">that meets FDA requirements and </w:t>
      </w:r>
      <w:r w:rsidR="00EA1A13">
        <w:t>thereby</w:t>
      </w:r>
      <w:r w:rsidR="00DA0783">
        <w:t xml:space="preserve"> </w:t>
      </w:r>
      <w:r w:rsidR="00F271C0">
        <w:t xml:space="preserve">increases the chances of a successful regulatory approval. </w:t>
      </w:r>
    </w:p>
    <w:p w14:paraId="65B8047F" w14:textId="77777777" w:rsidR="001E77EE" w:rsidRDefault="001E77EE" w:rsidP="00F34B73"/>
    <w:p w14:paraId="1EE56F5A" w14:textId="77777777" w:rsidR="00185E32" w:rsidRPr="00740DDB" w:rsidRDefault="00185E32" w:rsidP="00185E32">
      <w:pPr>
        <w:pStyle w:val="Heading1"/>
        <w:rPr>
          <w:b/>
          <w:bCs/>
          <w:color w:val="0B78B7"/>
        </w:rPr>
      </w:pPr>
      <w:bookmarkStart w:id="3" w:name="_Toc133501926"/>
      <w:r w:rsidRPr="00740DDB">
        <w:rPr>
          <w:b/>
          <w:bCs/>
          <w:color w:val="0B78B7"/>
        </w:rPr>
        <w:t>Advantages</w:t>
      </w:r>
      <w:bookmarkEnd w:id="3"/>
    </w:p>
    <w:p w14:paraId="4D0AAE20" w14:textId="16964BC5" w:rsidR="00692572" w:rsidRDefault="00692572" w:rsidP="00F34B73">
      <w:r>
        <w:t xml:space="preserve">A pre-submission is advantageous when </w:t>
      </w:r>
      <w:r w:rsidR="00F15736">
        <w:t>a device</w:t>
      </w:r>
      <w:r w:rsidR="00346A91">
        <w:t xml:space="preserve"> involves </w:t>
      </w:r>
      <w:r w:rsidR="00346A91">
        <w:t xml:space="preserve">innovative </w:t>
      </w:r>
      <w:r w:rsidR="00346A91">
        <w:t xml:space="preserve">technology, </w:t>
      </w:r>
      <w:r w:rsidR="0050707A">
        <w:t xml:space="preserve">for </w:t>
      </w:r>
      <w:r w:rsidR="00346A91">
        <w:t xml:space="preserve">a </w:t>
      </w:r>
      <w:proofErr w:type="gramStart"/>
      <w:r w:rsidR="00346A91">
        <w:t>new</w:t>
      </w:r>
      <w:proofErr w:type="gramEnd"/>
      <w:r w:rsidR="00346A91">
        <w:t xml:space="preserve"> intended use</w:t>
      </w:r>
      <w:r w:rsidR="000B1B70">
        <w:t xml:space="preserve"> of an existing device</w:t>
      </w:r>
      <w:r w:rsidR="00346A91">
        <w:t>, or a new analyte</w:t>
      </w:r>
      <w:r w:rsidR="000C132C">
        <w:t xml:space="preserve">. This serves as an opportunity to </w:t>
      </w:r>
      <w:r w:rsidR="00A568AC">
        <w:t xml:space="preserve">familiarize </w:t>
      </w:r>
      <w:r w:rsidR="00A568AC">
        <w:lastRenderedPageBreak/>
        <w:t xml:space="preserve">the FDA with the novel features of the device </w:t>
      </w:r>
      <w:r w:rsidR="00F15736">
        <w:t xml:space="preserve">prior to the submission. </w:t>
      </w:r>
      <w:r w:rsidR="001539A6">
        <w:t xml:space="preserve">This is especially helpful if possible regulatory pathways </w:t>
      </w:r>
      <w:r w:rsidR="00126BAC">
        <w:t xml:space="preserve">need to be defined, large data sets need to be analyzed using novel statistical methods, </w:t>
      </w:r>
      <w:r w:rsidR="00932F58">
        <w:t>or in situation</w:t>
      </w:r>
      <w:r w:rsidR="008C2E2B">
        <w:t>s</w:t>
      </w:r>
      <w:r w:rsidR="00932F58">
        <w:t xml:space="preserve"> where a clear predicate device or reference method is not available</w:t>
      </w:r>
      <w:r w:rsidR="00E9625B">
        <w:t xml:space="preserve">. </w:t>
      </w:r>
    </w:p>
    <w:p w14:paraId="6871C38E" w14:textId="40C27504" w:rsidR="008D3DFE" w:rsidRDefault="008D3DFE" w:rsidP="00F34B73">
      <w:r>
        <w:t xml:space="preserve">This allows the device manufacturer to </w:t>
      </w:r>
      <w:r w:rsidR="00B2327D">
        <w:t>initiate a discussion with the FDA to promote better understanding of the technology</w:t>
      </w:r>
      <w:r w:rsidR="00BE7B03">
        <w:t>. It helps to de</w:t>
      </w:r>
      <w:r w:rsidR="00FD4411">
        <w:t xml:space="preserve">fine the set of important information </w:t>
      </w:r>
      <w:r w:rsidR="00F40BCF">
        <w:t>needed for approval/clearance by the FDA</w:t>
      </w:r>
      <w:r w:rsidR="00983BE9">
        <w:t xml:space="preserve"> w</w:t>
      </w:r>
      <w:r w:rsidR="00542BB4">
        <w:t>h</w:t>
      </w:r>
      <w:r w:rsidR="00983BE9">
        <w:t>ile familiarizing them with the device</w:t>
      </w:r>
      <w:r w:rsidR="00196DA7">
        <w:t xml:space="preserve">. This </w:t>
      </w:r>
      <w:r w:rsidR="00542BB4">
        <w:t>also</w:t>
      </w:r>
      <w:r w:rsidR="00196DA7">
        <w:t xml:space="preserve"> helps to reduce the cost of developing the product </w:t>
      </w:r>
      <w:r w:rsidR="00706926">
        <w:t xml:space="preserve">by allowing </w:t>
      </w:r>
      <w:r w:rsidR="007D1D7A">
        <w:t>the device manufacturer</w:t>
      </w:r>
      <w:r w:rsidR="00706926">
        <w:t xml:space="preserve"> to </w:t>
      </w:r>
      <w:r w:rsidR="00EC523A">
        <w:t xml:space="preserve">eliminate unnecessary studies and </w:t>
      </w:r>
      <w:r w:rsidR="00706926">
        <w:t xml:space="preserve">focus on the </w:t>
      </w:r>
      <w:r w:rsidR="00CF4C99">
        <w:t xml:space="preserve">studies </w:t>
      </w:r>
      <w:r w:rsidR="00705707">
        <w:t xml:space="preserve">that are needed </w:t>
      </w:r>
      <w:r w:rsidR="00AA3F0C">
        <w:t>to facilitate the review process for future marketing applications</w:t>
      </w:r>
      <w:r w:rsidR="00983BE9">
        <w:t xml:space="preserve">. </w:t>
      </w:r>
    </w:p>
    <w:p w14:paraId="661DA635" w14:textId="77777777" w:rsidR="001E77EE" w:rsidRDefault="001E77EE" w:rsidP="00F34B73"/>
    <w:p w14:paraId="4A2CABC1" w14:textId="53957B3E" w:rsidR="00F87105" w:rsidRPr="00740DDB" w:rsidRDefault="00D17ACB" w:rsidP="00AD3CB2">
      <w:pPr>
        <w:pStyle w:val="Heading1"/>
        <w:rPr>
          <w:b/>
          <w:bCs/>
          <w:color w:val="0B78B7"/>
        </w:rPr>
      </w:pPr>
      <w:bookmarkStart w:id="4" w:name="_Toc133501927"/>
      <w:r w:rsidRPr="00740DDB">
        <w:rPr>
          <w:b/>
          <w:bCs/>
          <w:color w:val="0B78B7"/>
        </w:rPr>
        <w:t>Content</w:t>
      </w:r>
      <w:bookmarkEnd w:id="4"/>
    </w:p>
    <w:p w14:paraId="64E55A0A" w14:textId="77777777" w:rsidR="003671F2" w:rsidRDefault="00B127E5" w:rsidP="00F34B73">
      <w:r>
        <w:t xml:space="preserve">The Pre-Submission usually starts with a cover letter </w:t>
      </w:r>
      <w:r w:rsidR="005B7100">
        <w:t xml:space="preserve">indicating the </w:t>
      </w:r>
      <w:r w:rsidR="00384041">
        <w:t xml:space="preserve">purpose of the request. Included in the package is </w:t>
      </w:r>
      <w:r w:rsidR="00474E21">
        <w:t>a description of the medical device</w:t>
      </w:r>
      <w:r w:rsidR="00BF5D02">
        <w:t xml:space="preserve">, proposed intended use of the device and indications for use of the device. </w:t>
      </w:r>
      <w:r w:rsidR="0073126B">
        <w:t xml:space="preserve">Along with these pieces of information, </w:t>
      </w:r>
      <w:r w:rsidR="002E6F28">
        <w:t xml:space="preserve">a summary of the proposed product development plan </w:t>
      </w:r>
      <w:r w:rsidR="00B40400">
        <w:t xml:space="preserve">should also be included. </w:t>
      </w:r>
      <w:r w:rsidR="001953F8">
        <w:t xml:space="preserve">In cases where this is not the first time the manufacturer has communicated with the FDA regarding that </w:t>
      </w:r>
      <w:r w:rsidR="0031338B">
        <w:t>device</w:t>
      </w:r>
      <w:r w:rsidR="001953F8">
        <w:t xml:space="preserve">, </w:t>
      </w:r>
      <w:r w:rsidR="003212FE">
        <w:t xml:space="preserve">a summary of all previous discussions should also be included. </w:t>
      </w:r>
    </w:p>
    <w:p w14:paraId="4FBAAD6A" w14:textId="4FF5A3BB" w:rsidR="000D28B6" w:rsidRDefault="003212FE" w:rsidP="00F34B73">
      <w:r>
        <w:t xml:space="preserve">The </w:t>
      </w:r>
      <w:r w:rsidR="00935F64">
        <w:t xml:space="preserve">pre-submission provides an opportunity </w:t>
      </w:r>
      <w:r w:rsidR="0031338B">
        <w:t>for</w:t>
      </w:r>
      <w:r w:rsidR="00935F64">
        <w:t xml:space="preserve"> the manufacturer to ask specific questions </w:t>
      </w:r>
      <w:r w:rsidR="00CD04B7">
        <w:t>or address concerns they may have</w:t>
      </w:r>
      <w:r w:rsidR="006F6E55">
        <w:t xml:space="preserve"> </w:t>
      </w:r>
      <w:r w:rsidR="00935F64">
        <w:t xml:space="preserve">and get </w:t>
      </w:r>
      <w:r w:rsidR="001D4C32">
        <w:t xml:space="preserve">feedback from the agency which </w:t>
      </w:r>
      <w:r w:rsidR="006F6E55">
        <w:t xml:space="preserve">in turn </w:t>
      </w:r>
      <w:r w:rsidR="001D4C32">
        <w:t xml:space="preserve">could guide their product development strategy. </w:t>
      </w:r>
      <w:r w:rsidR="003671F2">
        <w:t xml:space="preserve">It </w:t>
      </w:r>
      <w:r w:rsidR="002611D9">
        <w:t xml:space="preserve">should </w:t>
      </w:r>
      <w:r w:rsidR="003671F2">
        <w:t xml:space="preserve">not, however, </w:t>
      </w:r>
      <w:r w:rsidR="002611D9">
        <w:t>be used to ask general questions</w:t>
      </w:r>
      <w:r w:rsidR="00F01716">
        <w:t xml:space="preserve"> or serve as a substitute for research and analysis of </w:t>
      </w:r>
      <w:r w:rsidR="00FD5ABB">
        <w:t xml:space="preserve">current practices in medical device development. </w:t>
      </w:r>
    </w:p>
    <w:p w14:paraId="5596EDA0" w14:textId="77777777" w:rsidR="001E77EE" w:rsidRDefault="001E77EE" w:rsidP="00F34B73"/>
    <w:p w14:paraId="7D16E3DE" w14:textId="3EFF5097" w:rsidR="00106E1E" w:rsidRPr="00740DDB" w:rsidRDefault="00FC43C9" w:rsidP="00FC43C9">
      <w:pPr>
        <w:pStyle w:val="Heading1"/>
        <w:rPr>
          <w:b/>
          <w:bCs/>
          <w:color w:val="0B78B7"/>
        </w:rPr>
      </w:pPr>
      <w:bookmarkStart w:id="5" w:name="_Toc133501928"/>
      <w:r w:rsidRPr="00740DDB">
        <w:rPr>
          <w:b/>
          <w:bCs/>
          <w:color w:val="0B78B7"/>
        </w:rPr>
        <w:t>Summary</w:t>
      </w:r>
      <w:bookmarkEnd w:id="5"/>
    </w:p>
    <w:p w14:paraId="7C3F8D36" w14:textId="77777777" w:rsidR="00633D02" w:rsidRDefault="00633D02" w:rsidP="00633D02">
      <w:r>
        <w:t>The Pre-Submission process was established under MDUFA III and further refined under MDUFA IV and the Q-Submission Program guidance.</w:t>
      </w:r>
    </w:p>
    <w:p w14:paraId="4D5600B5" w14:textId="1640199B" w:rsidR="00FC43C9" w:rsidRDefault="00FC43C9" w:rsidP="00FC43C9">
      <w:r>
        <w:t xml:space="preserve">It is important to mention that Pre-Submissions and their associated response from the FDA are strictly voluntary. The recommendations made by the agency following review of the study designs and protocols during these meetings are merely recommendations and are not binding on the manufacturer or the FDA. </w:t>
      </w:r>
      <w:r w:rsidR="00E10CED">
        <w:t xml:space="preserve">An FDA review of a pre-submission does not guarantee approval or clearance of a medical device through a future premarket application. </w:t>
      </w:r>
      <w:r>
        <w:t xml:space="preserve">However, being able to arrive at an alignment of the requirements and using these as a guide during the product development process could streamline the review process for future submissions.  </w:t>
      </w:r>
    </w:p>
    <w:p w14:paraId="034E9544" w14:textId="59F9198E" w:rsidR="000D28B6" w:rsidRDefault="000D28B6" w:rsidP="000D28B6"/>
    <w:p w14:paraId="0871EE4F" w14:textId="77777777" w:rsidR="00BF659A" w:rsidRPr="00740DDB" w:rsidRDefault="00BF659A" w:rsidP="00B41061">
      <w:pPr>
        <w:pStyle w:val="Heading1"/>
        <w:rPr>
          <w:b/>
          <w:bCs/>
          <w:color w:val="0B78B7"/>
        </w:rPr>
      </w:pPr>
      <w:bookmarkStart w:id="6" w:name="_Toc133501929"/>
      <w:r w:rsidRPr="00740DDB">
        <w:rPr>
          <w:b/>
          <w:bCs/>
          <w:color w:val="0B78B7"/>
        </w:rPr>
        <w:t>References:</w:t>
      </w:r>
      <w:bookmarkEnd w:id="6"/>
    </w:p>
    <w:p w14:paraId="5EA7FAF3" w14:textId="4A5D509E" w:rsidR="0071560C" w:rsidRDefault="00BF659A" w:rsidP="00BF659A">
      <w:pPr>
        <w:pStyle w:val="ListParagraph"/>
        <w:numPr>
          <w:ilvl w:val="0"/>
          <w:numId w:val="1"/>
        </w:numPr>
      </w:pPr>
      <w:hyperlink r:id="rId9" w:history="1">
        <w:bookmarkStart w:id="7" w:name="_Ref133502039"/>
        <w:r w:rsidRPr="000376CC">
          <w:rPr>
            <w:rStyle w:val="Hyperlink"/>
          </w:rPr>
          <w:t>https://www.fda.gov/medical-devices/ivd-regulatory-assistance/overview-ivd-regulation#4b</w:t>
        </w:r>
        <w:bookmarkEnd w:id="7"/>
      </w:hyperlink>
    </w:p>
    <w:p w14:paraId="07E3AA2E" w14:textId="127DA5FB" w:rsidR="00BF659A" w:rsidRDefault="00A0696D" w:rsidP="00BF659A">
      <w:pPr>
        <w:pStyle w:val="ListParagraph"/>
        <w:numPr>
          <w:ilvl w:val="0"/>
          <w:numId w:val="1"/>
        </w:numPr>
      </w:pPr>
      <w:hyperlink r:id="rId10" w:history="1">
        <w:bookmarkStart w:id="8" w:name="_Ref133502146"/>
        <w:r w:rsidRPr="000376CC">
          <w:rPr>
            <w:rStyle w:val="Hyperlink"/>
          </w:rPr>
          <w:t>https://www.fd</w:t>
        </w:r>
        <w:r w:rsidRPr="000376CC">
          <w:rPr>
            <w:rStyle w:val="Hyperlink"/>
          </w:rPr>
          <w:t>a</w:t>
        </w:r>
        <w:r w:rsidRPr="000376CC">
          <w:rPr>
            <w:rStyle w:val="Hyperlink"/>
          </w:rPr>
          <w:t>.gov/media/83244/download</w:t>
        </w:r>
        <w:bookmarkEnd w:id="8"/>
      </w:hyperlink>
    </w:p>
    <w:p w14:paraId="42B18931" w14:textId="0B020252" w:rsidR="00A0696D" w:rsidRDefault="0007562D" w:rsidP="0007562D">
      <w:pPr>
        <w:pStyle w:val="ListParagraph"/>
        <w:numPr>
          <w:ilvl w:val="0"/>
          <w:numId w:val="1"/>
        </w:numPr>
      </w:pPr>
      <w:bookmarkStart w:id="9" w:name="_Ref133501999"/>
      <w:r>
        <w:t>Requests for Feedback on Medical</w:t>
      </w:r>
      <w:r>
        <w:t xml:space="preserve"> </w:t>
      </w:r>
      <w:r>
        <w:t>Device Submissions:</w:t>
      </w:r>
      <w:r w:rsidR="0027642A">
        <w:t xml:space="preserve"> </w:t>
      </w:r>
      <w:r>
        <w:t>The Pre-Submission Program and</w:t>
      </w:r>
      <w:r w:rsidR="0027642A">
        <w:t xml:space="preserve"> </w:t>
      </w:r>
      <w:r>
        <w:t>Meetings with Food and Drug</w:t>
      </w:r>
      <w:r w:rsidR="0027642A">
        <w:t xml:space="preserve"> </w:t>
      </w:r>
      <w:r>
        <w:t>Administration Staff</w:t>
      </w:r>
      <w:r w:rsidR="007F337A">
        <w:t>,</w:t>
      </w:r>
      <w:r w:rsidR="0027642A">
        <w:t xml:space="preserve"> </w:t>
      </w:r>
      <w:r>
        <w:t>Guidance for Industry and Food</w:t>
      </w:r>
      <w:r w:rsidR="0027642A">
        <w:t xml:space="preserve"> </w:t>
      </w:r>
      <w:r>
        <w:t>and Drug Administration Staff</w:t>
      </w:r>
      <w:r w:rsidR="007F337A">
        <w:t>.</w:t>
      </w:r>
      <w:r w:rsidR="0027642A">
        <w:t xml:space="preserve"> </w:t>
      </w:r>
      <w:r>
        <w:t>Document issued on September 29, 2017</w:t>
      </w:r>
      <w:r w:rsidR="007F337A">
        <w:t>.</w:t>
      </w:r>
      <w:r w:rsidR="0027642A">
        <w:t xml:space="preserve"> </w:t>
      </w:r>
      <w:r>
        <w:t>Document originally issued on February 18, 2014</w:t>
      </w:r>
      <w:r w:rsidR="007F337A">
        <w:t>.</w:t>
      </w:r>
      <w:bookmarkEnd w:id="9"/>
    </w:p>
    <w:sectPr w:rsidR="00A0696D" w:rsidSect="005F405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52F14" w14:textId="77777777" w:rsidR="005F6212" w:rsidRDefault="005F6212" w:rsidP="00C50F55">
      <w:pPr>
        <w:spacing w:after="0" w:line="240" w:lineRule="auto"/>
      </w:pPr>
      <w:r>
        <w:separator/>
      </w:r>
    </w:p>
  </w:endnote>
  <w:endnote w:type="continuationSeparator" w:id="0">
    <w:p w14:paraId="4D1B7661" w14:textId="77777777" w:rsidR="005F6212" w:rsidRDefault="005F6212" w:rsidP="00C50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0A22A" w14:textId="77777777" w:rsidR="0011370E" w:rsidRDefault="00113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280616"/>
      <w:docPartObj>
        <w:docPartGallery w:val="Page Numbers (Bottom of Page)"/>
        <w:docPartUnique/>
      </w:docPartObj>
    </w:sdtPr>
    <w:sdtContent>
      <w:sdt>
        <w:sdtPr>
          <w:id w:val="-1705238520"/>
          <w:docPartObj>
            <w:docPartGallery w:val="Page Numbers (Top of Page)"/>
            <w:docPartUnique/>
          </w:docPartObj>
        </w:sdtPr>
        <w:sdtContent>
          <w:p w14:paraId="23A5C23F" w14:textId="49A827D7" w:rsidR="001D028F" w:rsidRDefault="001D028F" w:rsidP="001D028F">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A0A1028" w14:textId="77777777" w:rsidR="001D028F" w:rsidRDefault="001D02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C0E64" w14:textId="77777777" w:rsidR="0011370E" w:rsidRDefault="00113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08C13" w14:textId="77777777" w:rsidR="005F6212" w:rsidRDefault="005F6212" w:rsidP="00C50F55">
      <w:pPr>
        <w:spacing w:after="0" w:line="240" w:lineRule="auto"/>
      </w:pPr>
      <w:r>
        <w:separator/>
      </w:r>
    </w:p>
  </w:footnote>
  <w:footnote w:type="continuationSeparator" w:id="0">
    <w:p w14:paraId="0D198ECC" w14:textId="77777777" w:rsidR="005F6212" w:rsidRDefault="005F6212" w:rsidP="00C50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196B" w14:textId="1B3632F8" w:rsidR="0011370E" w:rsidRDefault="0011370E">
    <w:pPr>
      <w:pStyle w:val="Header"/>
    </w:pPr>
    <w:r>
      <w:rPr>
        <w:noProof/>
        <w14:ligatures w14:val="standardContextual"/>
      </w:rPr>
      <w:pict w14:anchorId="094E0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750751" o:spid="_x0000_s1026" type="#_x0000_t75" style="position:absolute;left:0;text-align:left;margin-left:0;margin-top:0;width:467.95pt;height:420.7pt;z-index:-251657216;mso-position-horizontal:center;mso-position-horizontal-relative:margin;mso-position-vertical:center;mso-position-vertical-relative:margin" o:allowincell="f">
          <v:imagedata r:id="rId1" o:title="Logo.png"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FEFB" w14:textId="1287F213" w:rsidR="008B2BA3" w:rsidRDefault="0011370E">
    <w:pPr>
      <w:pStyle w:val="Header"/>
    </w:pPr>
    <w:r>
      <w:rPr>
        <w:noProof/>
        <w14:ligatures w14:val="standardContextual"/>
      </w:rPr>
      <w:pict w14:anchorId="045E82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750752" o:spid="_x0000_s1027" type="#_x0000_t75" style="position:absolute;left:0;text-align:left;margin-left:0;margin-top:0;width:467.95pt;height:420.7pt;z-index:-251656192;mso-position-horizontal:center;mso-position-horizontal-relative:margin;mso-position-vertical:center;mso-position-vertical-relative:margin" o:allowincell="f">
          <v:imagedata r:id="rId1" o:title="Logo.png" gain="19661f" blacklevel="22938f"/>
        </v:shape>
      </w:pict>
    </w:r>
    <w:r w:rsidR="008B2BA3">
      <w:rPr>
        <w:noProof/>
        <w14:ligatures w14:val="standardContextual"/>
      </w:rPr>
      <w:drawing>
        <wp:inline distT="0" distB="0" distL="0" distR="0" wp14:anchorId="1E592AEF" wp14:editId="0E85C031">
          <wp:extent cx="2823210" cy="863600"/>
          <wp:effectExtent l="0" t="0" r="0" b="0"/>
          <wp:docPr id="2075285731" name="Picture 207528573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330257" name="Picture 1" descr="A picture containing logo&#10;&#10;Description automatically generated"/>
                  <pic:cNvPicPr/>
                </pic:nvPicPr>
                <pic:blipFill rotWithShape="1">
                  <a:blip r:embed="rId2">
                    <a:extLst>
                      <a:ext uri="{28A0092B-C50C-407E-A947-70E740481C1C}">
                        <a14:useLocalDpi xmlns:a14="http://schemas.microsoft.com/office/drawing/2010/main" val="0"/>
                      </a:ext>
                    </a:extLst>
                  </a:blip>
                  <a:srcRect t="-1" b="3480"/>
                  <a:stretch/>
                </pic:blipFill>
                <pic:spPr bwMode="auto">
                  <a:xfrm>
                    <a:off x="0" y="0"/>
                    <a:ext cx="2823729" cy="86375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FB6E" w14:textId="66E11706" w:rsidR="00C50F55" w:rsidRDefault="0011370E">
    <w:pPr>
      <w:pStyle w:val="Header"/>
    </w:pPr>
    <w:r>
      <w:rPr>
        <w:noProof/>
        <w14:ligatures w14:val="standardContextual"/>
      </w:rPr>
      <w:pict w14:anchorId="643D3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750750" o:spid="_x0000_s1025" type="#_x0000_t75" style="position:absolute;left:0;text-align:left;margin-left:0;margin-top:0;width:467.95pt;height:420.7pt;z-index:-251658240;mso-position-horizontal:center;mso-position-horizontal-relative:margin;mso-position-vertical:center;mso-position-vertical-relative:margin" o:allowincell="f">
          <v:imagedata r:id="rId1" o:title="Logo.png" gain="19661f" blacklevel="22938f"/>
        </v:shape>
      </w:pict>
    </w:r>
    <w:r w:rsidR="00C50F55">
      <w:rPr>
        <w:noProof/>
        <w14:ligatures w14:val="standardContextual"/>
      </w:rPr>
      <w:drawing>
        <wp:inline distT="0" distB="0" distL="0" distR="0" wp14:anchorId="1960C9FF" wp14:editId="393867A2">
          <wp:extent cx="2823729" cy="640080"/>
          <wp:effectExtent l="0" t="0" r="0" b="7620"/>
          <wp:docPr id="1040330257"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330257" name="Picture 1" descr="A picture containing logo&#10;&#10;Description automatically generated"/>
                  <pic:cNvPicPr/>
                </pic:nvPicPr>
                <pic:blipFill rotWithShape="1">
                  <a:blip r:embed="rId2">
                    <a:extLst>
                      <a:ext uri="{28A0092B-C50C-407E-A947-70E740481C1C}">
                        <a14:useLocalDpi xmlns:a14="http://schemas.microsoft.com/office/drawing/2010/main" val="0"/>
                      </a:ext>
                    </a:extLst>
                  </a:blip>
                  <a:srcRect b="28475"/>
                  <a:stretch/>
                </pic:blipFill>
                <pic:spPr bwMode="auto">
                  <a:xfrm>
                    <a:off x="0" y="0"/>
                    <a:ext cx="2823729" cy="6400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B2BCD"/>
    <w:multiLevelType w:val="hybridMultilevel"/>
    <w:tmpl w:val="54F0F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F15541"/>
    <w:multiLevelType w:val="hybridMultilevel"/>
    <w:tmpl w:val="B9F6A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2851726">
    <w:abstractNumId w:val="0"/>
  </w:num>
  <w:num w:numId="2" w16cid:durableId="1965652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8F"/>
    <w:rsid w:val="00005EB0"/>
    <w:rsid w:val="0001469B"/>
    <w:rsid w:val="00025B95"/>
    <w:rsid w:val="0007562D"/>
    <w:rsid w:val="00076903"/>
    <w:rsid w:val="000B1B70"/>
    <w:rsid w:val="000C132C"/>
    <w:rsid w:val="000D28B6"/>
    <w:rsid w:val="000E2767"/>
    <w:rsid w:val="000F16BE"/>
    <w:rsid w:val="001062DB"/>
    <w:rsid w:val="00106E1E"/>
    <w:rsid w:val="0011370E"/>
    <w:rsid w:val="00126BAC"/>
    <w:rsid w:val="00142DE2"/>
    <w:rsid w:val="001539A6"/>
    <w:rsid w:val="001707E2"/>
    <w:rsid w:val="00170980"/>
    <w:rsid w:val="00184C33"/>
    <w:rsid w:val="00184F04"/>
    <w:rsid w:val="00185E32"/>
    <w:rsid w:val="0018663C"/>
    <w:rsid w:val="001953F8"/>
    <w:rsid w:val="00196DA7"/>
    <w:rsid w:val="001A14B4"/>
    <w:rsid w:val="001D028F"/>
    <w:rsid w:val="001D2C35"/>
    <w:rsid w:val="001D4C32"/>
    <w:rsid w:val="001E34E2"/>
    <w:rsid w:val="001E77EE"/>
    <w:rsid w:val="001F6493"/>
    <w:rsid w:val="002078B6"/>
    <w:rsid w:val="002360A9"/>
    <w:rsid w:val="00245453"/>
    <w:rsid w:val="002611D9"/>
    <w:rsid w:val="0027642A"/>
    <w:rsid w:val="002A2315"/>
    <w:rsid w:val="002C044B"/>
    <w:rsid w:val="002E6F28"/>
    <w:rsid w:val="002F58A1"/>
    <w:rsid w:val="0031338B"/>
    <w:rsid w:val="003212FE"/>
    <w:rsid w:val="003463CA"/>
    <w:rsid w:val="00346A91"/>
    <w:rsid w:val="003512BD"/>
    <w:rsid w:val="003671F2"/>
    <w:rsid w:val="0036774A"/>
    <w:rsid w:val="00384041"/>
    <w:rsid w:val="003F399E"/>
    <w:rsid w:val="00431B1E"/>
    <w:rsid w:val="00447217"/>
    <w:rsid w:val="004512FC"/>
    <w:rsid w:val="00462B5D"/>
    <w:rsid w:val="00464C12"/>
    <w:rsid w:val="00466A09"/>
    <w:rsid w:val="00474E21"/>
    <w:rsid w:val="00491916"/>
    <w:rsid w:val="004A3C8F"/>
    <w:rsid w:val="004E1126"/>
    <w:rsid w:val="0050707A"/>
    <w:rsid w:val="00542BB4"/>
    <w:rsid w:val="005B7100"/>
    <w:rsid w:val="005F405F"/>
    <w:rsid w:val="005F6212"/>
    <w:rsid w:val="00604BCF"/>
    <w:rsid w:val="00615098"/>
    <w:rsid w:val="00633D02"/>
    <w:rsid w:val="00641F4B"/>
    <w:rsid w:val="00655958"/>
    <w:rsid w:val="006628E0"/>
    <w:rsid w:val="00666E49"/>
    <w:rsid w:val="00686EBC"/>
    <w:rsid w:val="00692572"/>
    <w:rsid w:val="00692E3A"/>
    <w:rsid w:val="006F38E3"/>
    <w:rsid w:val="006F6E55"/>
    <w:rsid w:val="00705707"/>
    <w:rsid w:val="00706926"/>
    <w:rsid w:val="00710425"/>
    <w:rsid w:val="0071560C"/>
    <w:rsid w:val="0072334C"/>
    <w:rsid w:val="0073126B"/>
    <w:rsid w:val="00740DDB"/>
    <w:rsid w:val="007453B0"/>
    <w:rsid w:val="00747066"/>
    <w:rsid w:val="007509A0"/>
    <w:rsid w:val="007D1D7A"/>
    <w:rsid w:val="007D4E27"/>
    <w:rsid w:val="007E33FE"/>
    <w:rsid w:val="007F337A"/>
    <w:rsid w:val="00835D78"/>
    <w:rsid w:val="00854514"/>
    <w:rsid w:val="008852F5"/>
    <w:rsid w:val="008B2BA3"/>
    <w:rsid w:val="008C2E2B"/>
    <w:rsid w:val="008D3373"/>
    <w:rsid w:val="008D3DFE"/>
    <w:rsid w:val="008D5F96"/>
    <w:rsid w:val="00932F58"/>
    <w:rsid w:val="00935F64"/>
    <w:rsid w:val="00983BE9"/>
    <w:rsid w:val="009B2426"/>
    <w:rsid w:val="009B30ED"/>
    <w:rsid w:val="009C77B4"/>
    <w:rsid w:val="009F572F"/>
    <w:rsid w:val="00A0696D"/>
    <w:rsid w:val="00A568AC"/>
    <w:rsid w:val="00A65BA5"/>
    <w:rsid w:val="00A97A0D"/>
    <w:rsid w:val="00AA3F0C"/>
    <w:rsid w:val="00AB70F4"/>
    <w:rsid w:val="00AD3CB2"/>
    <w:rsid w:val="00AF680D"/>
    <w:rsid w:val="00B127E5"/>
    <w:rsid w:val="00B2327D"/>
    <w:rsid w:val="00B25A38"/>
    <w:rsid w:val="00B40400"/>
    <w:rsid w:val="00B41061"/>
    <w:rsid w:val="00B478C4"/>
    <w:rsid w:val="00B507A0"/>
    <w:rsid w:val="00B54DEF"/>
    <w:rsid w:val="00B91679"/>
    <w:rsid w:val="00BA5A32"/>
    <w:rsid w:val="00BB0193"/>
    <w:rsid w:val="00BE7B03"/>
    <w:rsid w:val="00BF5D02"/>
    <w:rsid w:val="00BF659A"/>
    <w:rsid w:val="00C34D65"/>
    <w:rsid w:val="00C50F55"/>
    <w:rsid w:val="00CD04B7"/>
    <w:rsid w:val="00CE52D0"/>
    <w:rsid w:val="00CF4C99"/>
    <w:rsid w:val="00D17ACB"/>
    <w:rsid w:val="00D34156"/>
    <w:rsid w:val="00D4398D"/>
    <w:rsid w:val="00D82B8D"/>
    <w:rsid w:val="00DA0783"/>
    <w:rsid w:val="00DD7E13"/>
    <w:rsid w:val="00E10CED"/>
    <w:rsid w:val="00E21309"/>
    <w:rsid w:val="00E30004"/>
    <w:rsid w:val="00E706F9"/>
    <w:rsid w:val="00E71C4A"/>
    <w:rsid w:val="00E71E35"/>
    <w:rsid w:val="00E844B8"/>
    <w:rsid w:val="00E9625B"/>
    <w:rsid w:val="00EA1A13"/>
    <w:rsid w:val="00EA4246"/>
    <w:rsid w:val="00EC11E9"/>
    <w:rsid w:val="00EC523A"/>
    <w:rsid w:val="00ED3E59"/>
    <w:rsid w:val="00EF2185"/>
    <w:rsid w:val="00F01716"/>
    <w:rsid w:val="00F13D2F"/>
    <w:rsid w:val="00F149BA"/>
    <w:rsid w:val="00F15736"/>
    <w:rsid w:val="00F271C0"/>
    <w:rsid w:val="00F34B73"/>
    <w:rsid w:val="00F40BCF"/>
    <w:rsid w:val="00F5408C"/>
    <w:rsid w:val="00F65D2D"/>
    <w:rsid w:val="00F66B94"/>
    <w:rsid w:val="00F87105"/>
    <w:rsid w:val="00FC11F2"/>
    <w:rsid w:val="00FC43C9"/>
    <w:rsid w:val="00FD4411"/>
    <w:rsid w:val="00FD5ABB"/>
    <w:rsid w:val="00FF1BA9"/>
    <w:rsid w:val="00FF1FA1"/>
    <w:rsid w:val="00FF4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80ADD"/>
  <w15:chartTrackingRefBased/>
  <w15:docId w15:val="{1DF0F593-FEAD-47AC-8425-DCA12E3F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8F"/>
    <w:pPr>
      <w:jc w:val="both"/>
    </w:pPr>
    <w:rPr>
      <w:color w:val="525252" w:themeColor="accent3" w:themeShade="80"/>
      <w:kern w:val="0"/>
      <w:sz w:val="24"/>
      <w14:ligatures w14:val="none"/>
    </w:rPr>
  </w:style>
  <w:style w:type="paragraph" w:styleId="Heading1">
    <w:name w:val="heading 1"/>
    <w:basedOn w:val="Normal"/>
    <w:next w:val="Normal"/>
    <w:link w:val="Heading1Char"/>
    <w:uiPriority w:val="9"/>
    <w:qFormat/>
    <w:rsid w:val="004A3C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8F"/>
    <w:rPr>
      <w:rFonts w:asciiTheme="majorHAnsi" w:eastAsiaTheme="majorEastAsia" w:hAnsiTheme="majorHAnsi" w:cstheme="majorBidi"/>
      <w:color w:val="2F5496" w:themeColor="accent1" w:themeShade="BF"/>
      <w:kern w:val="0"/>
      <w:sz w:val="32"/>
      <w:szCs w:val="32"/>
      <w14:ligatures w14:val="none"/>
    </w:rPr>
  </w:style>
  <w:style w:type="paragraph" w:styleId="TOCHeading">
    <w:name w:val="TOC Heading"/>
    <w:basedOn w:val="Heading1"/>
    <w:next w:val="Normal"/>
    <w:uiPriority w:val="39"/>
    <w:unhideWhenUsed/>
    <w:qFormat/>
    <w:rsid w:val="004A3C8F"/>
    <w:pPr>
      <w:jc w:val="left"/>
      <w:outlineLvl w:val="9"/>
    </w:pPr>
  </w:style>
  <w:style w:type="paragraph" w:styleId="TOC1">
    <w:name w:val="toc 1"/>
    <w:basedOn w:val="Normal"/>
    <w:next w:val="Normal"/>
    <w:autoRedefine/>
    <w:uiPriority w:val="39"/>
    <w:unhideWhenUsed/>
    <w:rsid w:val="004A3C8F"/>
    <w:pPr>
      <w:spacing w:after="100"/>
    </w:pPr>
  </w:style>
  <w:style w:type="character" w:styleId="Hyperlink">
    <w:name w:val="Hyperlink"/>
    <w:basedOn w:val="DefaultParagraphFont"/>
    <w:uiPriority w:val="99"/>
    <w:unhideWhenUsed/>
    <w:rsid w:val="004A3C8F"/>
    <w:rPr>
      <w:color w:val="0563C1" w:themeColor="hyperlink"/>
      <w:u w:val="single"/>
    </w:rPr>
  </w:style>
  <w:style w:type="paragraph" w:styleId="ListParagraph">
    <w:name w:val="List Paragraph"/>
    <w:basedOn w:val="Normal"/>
    <w:uiPriority w:val="34"/>
    <w:qFormat/>
    <w:rsid w:val="00BF659A"/>
    <w:pPr>
      <w:ind w:left="720"/>
      <w:contextualSpacing/>
    </w:pPr>
  </w:style>
  <w:style w:type="character" w:styleId="UnresolvedMention">
    <w:name w:val="Unresolved Mention"/>
    <w:basedOn w:val="DefaultParagraphFont"/>
    <w:uiPriority w:val="99"/>
    <w:semiHidden/>
    <w:unhideWhenUsed/>
    <w:rsid w:val="00BF659A"/>
    <w:rPr>
      <w:color w:val="605E5C"/>
      <w:shd w:val="clear" w:color="auto" w:fill="E1DFDD"/>
    </w:rPr>
  </w:style>
  <w:style w:type="character" w:styleId="FollowedHyperlink">
    <w:name w:val="FollowedHyperlink"/>
    <w:basedOn w:val="DefaultParagraphFont"/>
    <w:uiPriority w:val="99"/>
    <w:semiHidden/>
    <w:unhideWhenUsed/>
    <w:rsid w:val="00A0696D"/>
    <w:rPr>
      <w:color w:val="954F72" w:themeColor="followedHyperlink"/>
      <w:u w:val="single"/>
    </w:rPr>
  </w:style>
  <w:style w:type="paragraph" w:styleId="NoSpacing">
    <w:name w:val="No Spacing"/>
    <w:link w:val="NoSpacingChar"/>
    <w:uiPriority w:val="1"/>
    <w:qFormat/>
    <w:rsid w:val="005F405F"/>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5F405F"/>
    <w:rPr>
      <w:rFonts w:eastAsiaTheme="minorEastAsia"/>
      <w:kern w:val="0"/>
      <w14:ligatures w14:val="none"/>
    </w:rPr>
  </w:style>
  <w:style w:type="paragraph" w:styleId="Header">
    <w:name w:val="header"/>
    <w:basedOn w:val="Normal"/>
    <w:link w:val="HeaderChar"/>
    <w:uiPriority w:val="99"/>
    <w:unhideWhenUsed/>
    <w:rsid w:val="00C50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F55"/>
    <w:rPr>
      <w:color w:val="525252" w:themeColor="accent3" w:themeShade="80"/>
      <w:kern w:val="0"/>
      <w:sz w:val="24"/>
      <w14:ligatures w14:val="none"/>
    </w:rPr>
  </w:style>
  <w:style w:type="paragraph" w:styleId="Footer">
    <w:name w:val="footer"/>
    <w:basedOn w:val="Normal"/>
    <w:link w:val="FooterChar"/>
    <w:uiPriority w:val="99"/>
    <w:unhideWhenUsed/>
    <w:rsid w:val="00C50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F55"/>
    <w:rPr>
      <w:color w:val="525252" w:themeColor="accent3" w:themeShade="80"/>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fda.gov/media/83244/download"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fda.gov/medical-devices/ivd-regulatory-assistance/overview-ivd-regulation#4b"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1862398A1740C09D60E135E7CC4BD5"/>
        <w:category>
          <w:name w:val="General"/>
          <w:gallery w:val="placeholder"/>
        </w:category>
        <w:types>
          <w:type w:val="bbPlcHdr"/>
        </w:types>
        <w:behaviors>
          <w:behavior w:val="content"/>
        </w:behaviors>
        <w:guid w:val="{3C4B061A-2C51-4F44-BD86-A0DB9A8881DA}"/>
      </w:docPartPr>
      <w:docPartBody>
        <w:p w:rsidR="00000000" w:rsidRDefault="00A8792C" w:rsidP="00A8792C">
          <w:pPr>
            <w:pStyle w:val="051862398A1740C09D60E135E7CC4BD5"/>
          </w:pPr>
          <w:r>
            <w:rPr>
              <w:color w:val="2F5496" w:themeColor="accent1" w:themeShade="BF"/>
              <w:sz w:val="24"/>
              <w:szCs w:val="24"/>
            </w:rPr>
            <w:t>[Company name]</w:t>
          </w:r>
        </w:p>
      </w:docPartBody>
    </w:docPart>
    <w:docPart>
      <w:docPartPr>
        <w:name w:val="5FA409BB9411415191660760B6CA0236"/>
        <w:category>
          <w:name w:val="General"/>
          <w:gallery w:val="placeholder"/>
        </w:category>
        <w:types>
          <w:type w:val="bbPlcHdr"/>
        </w:types>
        <w:behaviors>
          <w:behavior w:val="content"/>
        </w:behaviors>
        <w:guid w:val="{B9CAEC79-3AE4-4BEF-9653-6133CD0F0044}"/>
      </w:docPartPr>
      <w:docPartBody>
        <w:p w:rsidR="00000000" w:rsidRDefault="00A8792C" w:rsidP="00A8792C">
          <w:pPr>
            <w:pStyle w:val="5FA409BB9411415191660760B6CA0236"/>
          </w:pPr>
          <w:r>
            <w:rPr>
              <w:rFonts w:asciiTheme="majorHAnsi" w:eastAsiaTheme="majorEastAsia" w:hAnsiTheme="majorHAnsi" w:cstheme="majorBidi"/>
              <w:color w:val="4472C4" w:themeColor="accent1"/>
              <w:sz w:val="88"/>
              <w:szCs w:val="88"/>
            </w:rPr>
            <w:t>[Document title]</w:t>
          </w:r>
        </w:p>
      </w:docPartBody>
    </w:docPart>
    <w:docPart>
      <w:docPartPr>
        <w:name w:val="B8010F8C81254D74A392FD3AD333133F"/>
        <w:category>
          <w:name w:val="General"/>
          <w:gallery w:val="placeholder"/>
        </w:category>
        <w:types>
          <w:type w:val="bbPlcHdr"/>
        </w:types>
        <w:behaviors>
          <w:behavior w:val="content"/>
        </w:behaviors>
        <w:guid w:val="{3EB77100-76FA-4499-9CD0-8F8F2CEF8DBA}"/>
      </w:docPartPr>
      <w:docPartBody>
        <w:p w:rsidR="00000000" w:rsidRDefault="00A8792C" w:rsidP="00A8792C">
          <w:pPr>
            <w:pStyle w:val="B8010F8C81254D74A392FD3AD333133F"/>
          </w:pPr>
          <w:r>
            <w:rPr>
              <w:color w:val="2F5496" w:themeColor="accent1" w:themeShade="BF"/>
              <w:sz w:val="24"/>
              <w:szCs w:val="24"/>
            </w:rPr>
            <w:t>[Document subtitle]</w:t>
          </w:r>
        </w:p>
      </w:docPartBody>
    </w:docPart>
    <w:docPart>
      <w:docPartPr>
        <w:name w:val="0FEFB3F9BA8F4760BFA8F631444CBF0C"/>
        <w:category>
          <w:name w:val="General"/>
          <w:gallery w:val="placeholder"/>
        </w:category>
        <w:types>
          <w:type w:val="bbPlcHdr"/>
        </w:types>
        <w:behaviors>
          <w:behavior w:val="content"/>
        </w:behaviors>
        <w:guid w:val="{13FBC6C5-645C-4FF6-819D-55DFFF5B491E}"/>
      </w:docPartPr>
      <w:docPartBody>
        <w:p w:rsidR="00000000" w:rsidRDefault="00A8792C" w:rsidP="00A8792C">
          <w:pPr>
            <w:pStyle w:val="0FEFB3F9BA8F4760BFA8F631444CBF0C"/>
          </w:pPr>
          <w:r>
            <w:rPr>
              <w:color w:val="4472C4" w:themeColor="accent1"/>
              <w:sz w:val="28"/>
              <w:szCs w:val="28"/>
            </w:rPr>
            <w:t>[Author name]</w:t>
          </w:r>
        </w:p>
      </w:docPartBody>
    </w:docPart>
    <w:docPart>
      <w:docPartPr>
        <w:name w:val="FDCD34191F6A4639BAE1B36722148CB5"/>
        <w:category>
          <w:name w:val="General"/>
          <w:gallery w:val="placeholder"/>
        </w:category>
        <w:types>
          <w:type w:val="bbPlcHdr"/>
        </w:types>
        <w:behaviors>
          <w:behavior w:val="content"/>
        </w:behaviors>
        <w:guid w:val="{A78CE282-6096-4F14-8651-0881B81BB334}"/>
      </w:docPartPr>
      <w:docPartBody>
        <w:p w:rsidR="00000000" w:rsidRDefault="00A8792C" w:rsidP="00A8792C">
          <w:pPr>
            <w:pStyle w:val="FDCD34191F6A4639BAE1B36722148CB5"/>
          </w:pPr>
          <w:r>
            <w:rPr>
              <w:color w:val="4472C4"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92C"/>
    <w:rsid w:val="00985F19"/>
    <w:rsid w:val="00A87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1862398A1740C09D60E135E7CC4BD5">
    <w:name w:val="051862398A1740C09D60E135E7CC4BD5"/>
    <w:rsid w:val="00A8792C"/>
  </w:style>
  <w:style w:type="paragraph" w:customStyle="1" w:styleId="5FA409BB9411415191660760B6CA0236">
    <w:name w:val="5FA409BB9411415191660760B6CA0236"/>
    <w:rsid w:val="00A8792C"/>
  </w:style>
  <w:style w:type="paragraph" w:customStyle="1" w:styleId="B8010F8C81254D74A392FD3AD333133F">
    <w:name w:val="B8010F8C81254D74A392FD3AD333133F"/>
    <w:rsid w:val="00A8792C"/>
  </w:style>
  <w:style w:type="paragraph" w:customStyle="1" w:styleId="0FEFB3F9BA8F4760BFA8F631444CBF0C">
    <w:name w:val="0FEFB3F9BA8F4760BFA8F631444CBF0C"/>
    <w:rsid w:val="00A8792C"/>
  </w:style>
  <w:style w:type="paragraph" w:customStyle="1" w:styleId="FDCD34191F6A4639BAE1B36722148CB5">
    <w:name w:val="FDCD34191F6A4639BAE1B36722148CB5"/>
    <w:rsid w:val="00A879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2023-04-27T00:00:00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A65D01-48C3-4E6F-AE70-021616386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TotalTime>
  <Pages>6</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Script Molecular</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Product Development Process</dc:title>
  <dc:subject>Pre-Submission</dc:subject>
  <dc:creator>Srilekha Deka</dc:creator>
  <cp:keywords/>
  <dc:description/>
  <cp:lastModifiedBy>rinti deka</cp:lastModifiedBy>
  <cp:revision>165</cp:revision>
  <dcterms:created xsi:type="dcterms:W3CDTF">2023-04-26T19:53:00Z</dcterms:created>
  <dcterms:modified xsi:type="dcterms:W3CDTF">2023-04-27T22:40:00Z</dcterms:modified>
</cp:coreProperties>
</file>